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4593" w14:textId="77777777" w:rsidR="003B77FC" w:rsidRPr="00086E3F" w:rsidRDefault="003B77FC" w:rsidP="003B77FC">
      <w:pPr>
        <w:keepNext/>
        <w:pBdr>
          <w:top w:val="single" w:sz="4" w:space="1" w:color="auto"/>
          <w:left w:val="single" w:sz="4" w:space="4" w:color="auto"/>
          <w:bottom w:val="single" w:sz="4" w:space="1" w:color="auto"/>
          <w:right w:val="single" w:sz="4" w:space="4" w:color="auto"/>
        </w:pBdr>
        <w:spacing w:line="240" w:lineRule="auto"/>
        <w:jc w:val="center"/>
        <w:rPr>
          <w:rFonts w:cs="Arial"/>
          <w:b/>
          <w:bCs/>
          <w:color w:val="FF0000"/>
          <w:sz w:val="32"/>
          <w:szCs w:val="32"/>
        </w:rPr>
      </w:pPr>
      <w:r w:rsidRPr="00086E3F">
        <w:rPr>
          <w:rFonts w:cs="Arial"/>
          <w:b/>
          <w:bCs/>
          <w:color w:val="FF0000"/>
          <w:sz w:val="32"/>
          <w:szCs w:val="32"/>
        </w:rPr>
        <w:t>MERKBLATT</w:t>
      </w:r>
    </w:p>
    <w:p w14:paraId="5A88ECD8" w14:textId="77777777" w:rsidR="003B77FC" w:rsidRDefault="003B77FC" w:rsidP="003B77FC">
      <w:pPr>
        <w:keepNext/>
        <w:spacing w:line="240" w:lineRule="auto"/>
        <w:jc w:val="both"/>
        <w:rPr>
          <w:rFonts w:cs="Arial"/>
          <w:bCs/>
          <w:sz w:val="19"/>
          <w:szCs w:val="19"/>
        </w:rPr>
      </w:pPr>
    </w:p>
    <w:p w14:paraId="51F30F82" w14:textId="77777777" w:rsidR="004C0A9E" w:rsidRPr="004C0A9E" w:rsidRDefault="004C0A9E" w:rsidP="004C0A9E">
      <w:pPr>
        <w:keepLines/>
        <w:spacing w:after="240" w:line="240" w:lineRule="auto"/>
        <w:jc w:val="both"/>
        <w:rPr>
          <w:rFonts w:cs="Arial"/>
          <w:color w:val="333333"/>
          <w:sz w:val="20"/>
          <w:szCs w:val="24"/>
        </w:rPr>
      </w:pPr>
      <w:r w:rsidRPr="004C0A9E">
        <w:rPr>
          <w:rFonts w:cs="Arial"/>
          <w:color w:val="333333"/>
          <w:sz w:val="20"/>
          <w:szCs w:val="24"/>
        </w:rPr>
        <w:t>Die Burgenländische Landesregierung unterstützt ab 1. November 2019 einkommensschwache Familien bei der Entrichtung von Mittagessensbeiträgen.</w:t>
      </w:r>
      <w:r w:rsidRPr="004C0A9E">
        <w:rPr>
          <w:rFonts w:cs="Arial"/>
          <w:sz w:val="20"/>
          <w:szCs w:val="24"/>
        </w:rPr>
        <w:t xml:space="preserve"> </w:t>
      </w:r>
      <w:r w:rsidRPr="004C0A9E">
        <w:rPr>
          <w:rFonts w:cs="Arial"/>
          <w:color w:val="333333"/>
          <w:sz w:val="20"/>
          <w:szCs w:val="24"/>
        </w:rPr>
        <w:t xml:space="preserve">Für Familien mit Hauptwohnsitz im Burgenland, die ein festgelegtes Haushaltseinkommen nicht überschreiten, werden entrichtete Mittagessensbeiträge für Kinder in Kinderbildungs- und -betreuungseinrichtungen teilrückerstattet. </w:t>
      </w:r>
    </w:p>
    <w:p w14:paraId="74A6BD6C" w14:textId="77777777" w:rsidR="004C0A9E" w:rsidRDefault="004C0A9E" w:rsidP="004C0A9E">
      <w:pPr>
        <w:pStyle w:val="bodytext"/>
        <w:jc w:val="both"/>
        <w:rPr>
          <w:rFonts w:ascii="Arial" w:hAnsi="Arial" w:cs="Arial"/>
          <w:color w:val="333333"/>
          <w:sz w:val="20"/>
          <w:lang w:val="de-DE"/>
        </w:rPr>
      </w:pPr>
      <w:r w:rsidRPr="004C0A9E">
        <w:rPr>
          <w:rFonts w:ascii="Arial" w:hAnsi="Arial" w:cs="Arial"/>
          <w:color w:val="333333"/>
          <w:sz w:val="20"/>
          <w:lang w:val="de-DE"/>
        </w:rPr>
        <w:t xml:space="preserve">Die Teilrückerstattung kann über einen seitens der Landesregierung zur Verfügung gestellten Antrag zweimal jährlich beantragt werden. Diesem Antragsformular sind Einkommensnachweise, sowie Rechnung und Zahlungsnachweise der entrichteten Mittagessensbeiträge anzuschließen. </w:t>
      </w:r>
    </w:p>
    <w:p w14:paraId="3BBDD836" w14:textId="77777777" w:rsidR="004C0A9E" w:rsidRPr="004C0A9E" w:rsidRDefault="004C0A9E" w:rsidP="004C0A9E">
      <w:pPr>
        <w:spacing w:line="240" w:lineRule="auto"/>
        <w:jc w:val="both"/>
        <w:rPr>
          <w:rFonts w:cs="Arial"/>
          <w:color w:val="333333"/>
          <w:sz w:val="20"/>
          <w:szCs w:val="24"/>
          <w:lang w:eastAsia="de-AT"/>
        </w:rPr>
      </w:pPr>
      <w:r w:rsidRPr="004C0A9E">
        <w:rPr>
          <w:rFonts w:cs="Arial"/>
          <w:color w:val="333333"/>
          <w:sz w:val="20"/>
          <w:szCs w:val="24"/>
          <w:lang w:eastAsia="de-AT"/>
        </w:rPr>
        <w:t>Eine Förderung kann gewährt werden, wenn</w:t>
      </w:r>
    </w:p>
    <w:p w14:paraId="7D1C72BE" w14:textId="77777777" w:rsidR="004C0A9E" w:rsidRPr="004C0A9E" w:rsidRDefault="004C0A9E" w:rsidP="004C0A9E">
      <w:pPr>
        <w:numPr>
          <w:ilvl w:val="0"/>
          <w:numId w:val="1"/>
        </w:numPr>
        <w:tabs>
          <w:tab w:val="clear" w:pos="876"/>
          <w:tab w:val="num" w:pos="709"/>
        </w:tabs>
        <w:spacing w:line="240" w:lineRule="auto"/>
        <w:ind w:left="709" w:hanging="283"/>
        <w:jc w:val="both"/>
        <w:rPr>
          <w:rFonts w:cs="Arial"/>
          <w:color w:val="333333"/>
          <w:sz w:val="20"/>
          <w:szCs w:val="24"/>
          <w:lang w:eastAsia="de-AT"/>
        </w:rPr>
      </w:pPr>
      <w:r w:rsidRPr="004C0A9E">
        <w:rPr>
          <w:rFonts w:cs="Arial"/>
          <w:color w:val="333333"/>
          <w:sz w:val="20"/>
          <w:szCs w:val="24"/>
          <w:lang w:eastAsia="de-AT"/>
        </w:rPr>
        <w:t>das Kind, für welches die Förderung beantragt wird, eine elementare Kinderbildungs- und-betreuungseinrichtung im Burgenland besucht;</w:t>
      </w:r>
    </w:p>
    <w:p w14:paraId="476AEF24" w14:textId="77777777" w:rsidR="004C0A9E" w:rsidRPr="004C0A9E" w:rsidRDefault="004C0A9E" w:rsidP="004C0A9E">
      <w:pPr>
        <w:numPr>
          <w:ilvl w:val="0"/>
          <w:numId w:val="1"/>
        </w:numPr>
        <w:tabs>
          <w:tab w:val="clear" w:pos="876"/>
          <w:tab w:val="num" w:pos="709"/>
        </w:tabs>
        <w:spacing w:line="240" w:lineRule="auto"/>
        <w:ind w:left="709" w:hanging="283"/>
        <w:jc w:val="both"/>
        <w:rPr>
          <w:rFonts w:cs="Arial"/>
          <w:color w:val="333333"/>
          <w:sz w:val="20"/>
          <w:szCs w:val="24"/>
          <w:lang w:eastAsia="de-AT"/>
        </w:rPr>
      </w:pPr>
      <w:r w:rsidRPr="004C0A9E">
        <w:rPr>
          <w:rFonts w:cs="Arial"/>
          <w:color w:val="333333"/>
          <w:sz w:val="20"/>
          <w:szCs w:val="24"/>
          <w:lang w:eastAsia="de-AT"/>
        </w:rPr>
        <w:t>die Förderungswerberin oder der Förderungswerber und das im gemeinsamen Haushalt lebende Kind, für welches die Förderung beantragt wird, ihren Hauptwohnsitz im Burgenland haben;</w:t>
      </w:r>
    </w:p>
    <w:p w14:paraId="16B9FBFB" w14:textId="3BD6897F" w:rsidR="00004F3D" w:rsidRPr="002941E4" w:rsidRDefault="004C0A9E" w:rsidP="00004F3D">
      <w:pPr>
        <w:numPr>
          <w:ilvl w:val="0"/>
          <w:numId w:val="1"/>
        </w:numPr>
        <w:tabs>
          <w:tab w:val="clear" w:pos="876"/>
          <w:tab w:val="num" w:pos="709"/>
        </w:tabs>
        <w:spacing w:line="240" w:lineRule="auto"/>
        <w:ind w:left="709" w:hanging="283"/>
        <w:jc w:val="both"/>
        <w:rPr>
          <w:rFonts w:cs="Arial"/>
          <w:color w:val="333333"/>
          <w:sz w:val="20"/>
          <w:szCs w:val="24"/>
          <w:lang w:eastAsia="de-AT"/>
        </w:rPr>
      </w:pPr>
      <w:r w:rsidRPr="002941E4">
        <w:rPr>
          <w:rFonts w:cs="Arial"/>
          <w:color w:val="333333"/>
          <w:sz w:val="20"/>
          <w:szCs w:val="24"/>
          <w:lang w:eastAsia="de-AT"/>
        </w:rPr>
        <w:t>eine nachweisliche Anmeldung und Einnahme des Mittagessens an mindestens drei Tagen pro Woche in der Kinderbildungs- und -</w:t>
      </w:r>
      <w:proofErr w:type="spellStart"/>
      <w:r w:rsidRPr="002941E4">
        <w:rPr>
          <w:rFonts w:cs="Arial"/>
          <w:color w:val="333333"/>
          <w:sz w:val="20"/>
          <w:szCs w:val="24"/>
          <w:lang w:eastAsia="de-AT"/>
        </w:rPr>
        <w:t>betre</w:t>
      </w:r>
      <w:r w:rsidR="002941E4">
        <w:rPr>
          <w:rFonts w:cs="Arial"/>
          <w:color w:val="333333"/>
          <w:sz w:val="20"/>
          <w:szCs w:val="24"/>
          <w:lang w:eastAsia="de-AT"/>
        </w:rPr>
        <w:t>u</w:t>
      </w:r>
      <w:bookmarkStart w:id="0" w:name="_GoBack"/>
      <w:bookmarkEnd w:id="0"/>
      <w:r w:rsidRPr="002941E4">
        <w:rPr>
          <w:rFonts w:cs="Arial"/>
          <w:color w:val="333333"/>
          <w:sz w:val="20"/>
          <w:szCs w:val="24"/>
          <w:lang w:eastAsia="de-AT"/>
        </w:rPr>
        <w:t>ungseinrichtung</w:t>
      </w:r>
      <w:proofErr w:type="spellEnd"/>
      <w:r w:rsidRPr="002941E4">
        <w:rPr>
          <w:rFonts w:cs="Arial"/>
          <w:color w:val="333333"/>
          <w:sz w:val="20"/>
          <w:szCs w:val="24"/>
          <w:lang w:eastAsia="de-AT"/>
        </w:rPr>
        <w:t xml:space="preserve"> vorliegt,</w:t>
      </w:r>
    </w:p>
    <w:p w14:paraId="45702359" w14:textId="63DB1770" w:rsidR="00347926" w:rsidRPr="00004F3D" w:rsidRDefault="00004F3D" w:rsidP="00004F3D">
      <w:pPr>
        <w:numPr>
          <w:ilvl w:val="0"/>
          <w:numId w:val="1"/>
        </w:numPr>
        <w:tabs>
          <w:tab w:val="clear" w:pos="876"/>
          <w:tab w:val="num" w:pos="709"/>
        </w:tabs>
        <w:spacing w:line="240" w:lineRule="auto"/>
        <w:ind w:left="709" w:hanging="283"/>
        <w:jc w:val="both"/>
        <w:rPr>
          <w:rFonts w:cs="Arial"/>
          <w:color w:val="333333"/>
          <w:sz w:val="20"/>
          <w:szCs w:val="24"/>
          <w:lang w:eastAsia="de-AT"/>
        </w:rPr>
      </w:pPr>
      <w:r>
        <w:rPr>
          <w:sz w:val="20"/>
        </w:rPr>
        <w:t>d</w:t>
      </w:r>
      <w:r w:rsidR="00347926" w:rsidRPr="00004F3D">
        <w:rPr>
          <w:sz w:val="20"/>
        </w:rPr>
        <w:t>ie Einkommensgrenzen der Fördermaßnahme nicht überschritten werden.</w:t>
      </w:r>
    </w:p>
    <w:p w14:paraId="26899FE8" w14:textId="77777777" w:rsidR="004C0A9E" w:rsidRDefault="004C0A9E" w:rsidP="004C0A9E">
      <w:pPr>
        <w:spacing w:line="240" w:lineRule="auto"/>
        <w:jc w:val="both"/>
        <w:rPr>
          <w:rFonts w:cs="Arial"/>
          <w:color w:val="333333"/>
          <w:sz w:val="20"/>
          <w:szCs w:val="24"/>
          <w:lang w:eastAsia="de-AT"/>
        </w:rPr>
      </w:pPr>
    </w:p>
    <w:p w14:paraId="08C84AF2" w14:textId="105EE296" w:rsidR="004C0A9E" w:rsidRDefault="004C0A9E" w:rsidP="004C0A9E">
      <w:pPr>
        <w:autoSpaceDE w:val="0"/>
        <w:autoSpaceDN w:val="0"/>
        <w:adjustRightInd w:val="0"/>
        <w:spacing w:line="240" w:lineRule="auto"/>
        <w:jc w:val="both"/>
        <w:rPr>
          <w:rFonts w:cs="Arial"/>
          <w:color w:val="333333"/>
          <w:sz w:val="20"/>
          <w:szCs w:val="24"/>
          <w:lang w:eastAsia="de-AT"/>
        </w:rPr>
      </w:pPr>
      <w:r w:rsidRPr="004C0A9E">
        <w:rPr>
          <w:rFonts w:cs="Arial"/>
          <w:color w:val="333333"/>
          <w:sz w:val="20"/>
          <w:szCs w:val="24"/>
          <w:lang w:eastAsia="de-AT"/>
        </w:rPr>
        <w:t xml:space="preserve">Die </w:t>
      </w:r>
      <w:r w:rsidRPr="00684A35">
        <w:rPr>
          <w:rFonts w:cs="Arial"/>
          <w:b/>
          <w:color w:val="333333"/>
          <w:sz w:val="20"/>
          <w:szCs w:val="24"/>
          <w:lang w:eastAsia="de-AT"/>
        </w:rPr>
        <w:t>Antragsfrist</w:t>
      </w:r>
      <w:r w:rsidRPr="004C0A9E">
        <w:rPr>
          <w:rFonts w:cs="Arial"/>
          <w:color w:val="333333"/>
          <w:sz w:val="20"/>
          <w:szCs w:val="24"/>
          <w:lang w:eastAsia="de-AT"/>
        </w:rPr>
        <w:t xml:space="preserve"> zur Einreichung des Ansuchens um Teilrückerstattung der Mittagessensbeiträge für die Monate Jänner bis </w:t>
      </w:r>
      <w:proofErr w:type="gramStart"/>
      <w:r w:rsidRPr="004C0A9E">
        <w:rPr>
          <w:rFonts w:cs="Arial"/>
          <w:color w:val="333333"/>
          <w:sz w:val="20"/>
          <w:szCs w:val="24"/>
          <w:lang w:eastAsia="de-AT"/>
        </w:rPr>
        <w:t>inklusive Juni</w:t>
      </w:r>
      <w:proofErr w:type="gramEnd"/>
      <w:r w:rsidRPr="004C0A9E">
        <w:rPr>
          <w:rFonts w:cs="Arial"/>
          <w:color w:val="333333"/>
          <w:sz w:val="20"/>
          <w:szCs w:val="24"/>
          <w:lang w:eastAsia="de-AT"/>
        </w:rPr>
        <w:t xml:space="preserve"> beginnt jeweils am 1. Juli und läuft bis 31. </w:t>
      </w:r>
      <w:r w:rsidR="00C34927">
        <w:rPr>
          <w:rFonts w:cs="Arial"/>
          <w:color w:val="333333"/>
          <w:sz w:val="20"/>
          <w:szCs w:val="24"/>
          <w:lang w:eastAsia="de-AT"/>
        </w:rPr>
        <w:t>Oktober</w:t>
      </w:r>
      <w:r w:rsidRPr="004C0A9E">
        <w:rPr>
          <w:rFonts w:cs="Arial"/>
          <w:color w:val="333333"/>
          <w:sz w:val="20"/>
          <w:szCs w:val="24"/>
          <w:lang w:eastAsia="de-AT"/>
        </w:rPr>
        <w:t xml:space="preserve"> des Kalenderjahres. Die Antragsfrist zur Einreichung des Ansuchens um Teilrückerstattung der Mittagessensbeiträge für die Monate Juli bis inklusive Dezember beginnt jeweils am 1. Jänner und läuft bis </w:t>
      </w:r>
      <w:r w:rsidR="00004F3D">
        <w:rPr>
          <w:rFonts w:cs="Arial"/>
          <w:color w:val="333333"/>
          <w:sz w:val="20"/>
          <w:szCs w:val="24"/>
          <w:lang w:eastAsia="de-AT"/>
        </w:rPr>
        <w:t>31. Mai</w:t>
      </w:r>
      <w:r w:rsidR="00C34927">
        <w:rPr>
          <w:rFonts w:cs="Arial"/>
          <w:color w:val="333333"/>
          <w:sz w:val="20"/>
          <w:szCs w:val="24"/>
          <w:lang w:eastAsia="de-AT"/>
        </w:rPr>
        <w:t xml:space="preserve"> </w:t>
      </w:r>
      <w:r w:rsidRPr="004C0A9E">
        <w:rPr>
          <w:rFonts w:cs="Arial"/>
          <w:color w:val="333333"/>
          <w:sz w:val="20"/>
          <w:szCs w:val="24"/>
          <w:lang w:eastAsia="de-AT"/>
        </w:rPr>
        <w:t xml:space="preserve">des darauffolgenden Kalenderjahres. </w:t>
      </w:r>
    </w:p>
    <w:p w14:paraId="06EFDA38" w14:textId="77777777" w:rsidR="00684A35" w:rsidRPr="004C0A9E" w:rsidRDefault="00684A35" w:rsidP="004C0A9E">
      <w:pPr>
        <w:autoSpaceDE w:val="0"/>
        <w:autoSpaceDN w:val="0"/>
        <w:adjustRightInd w:val="0"/>
        <w:spacing w:line="240" w:lineRule="auto"/>
        <w:jc w:val="both"/>
        <w:rPr>
          <w:rFonts w:cs="Arial"/>
          <w:color w:val="333333"/>
          <w:sz w:val="20"/>
          <w:szCs w:val="24"/>
          <w:lang w:eastAsia="de-AT"/>
        </w:rPr>
      </w:pPr>
    </w:p>
    <w:p w14:paraId="3A934194" w14:textId="77777777" w:rsidR="004C0A9E" w:rsidRPr="004C0A9E" w:rsidRDefault="004C0A9E" w:rsidP="004C0A9E">
      <w:pPr>
        <w:tabs>
          <w:tab w:val="num" w:pos="993"/>
        </w:tabs>
        <w:spacing w:line="240" w:lineRule="auto"/>
        <w:jc w:val="both"/>
        <w:rPr>
          <w:rFonts w:cs="Arial"/>
          <w:color w:val="333333"/>
          <w:sz w:val="20"/>
          <w:szCs w:val="24"/>
          <w:lang w:eastAsia="de-AT"/>
        </w:rPr>
      </w:pPr>
    </w:p>
    <w:p w14:paraId="3E479D30" w14:textId="77777777" w:rsidR="004C0A9E" w:rsidRPr="00004F3D" w:rsidRDefault="004C0A9E" w:rsidP="004C0A9E">
      <w:pPr>
        <w:tabs>
          <w:tab w:val="num" w:pos="993"/>
        </w:tabs>
        <w:spacing w:line="240" w:lineRule="auto"/>
        <w:jc w:val="both"/>
        <w:rPr>
          <w:rFonts w:cs="Arial"/>
          <w:color w:val="333333"/>
          <w:sz w:val="20"/>
          <w:szCs w:val="24"/>
          <w:lang w:eastAsia="de-AT"/>
        </w:rPr>
      </w:pPr>
      <w:r w:rsidRPr="00004F3D">
        <w:rPr>
          <w:rFonts w:cs="Arial"/>
          <w:color w:val="333333"/>
          <w:sz w:val="20"/>
          <w:szCs w:val="24"/>
          <w:lang w:eastAsia="de-AT"/>
        </w:rPr>
        <w:t>Die Höhe der möglichen Teilrückerstattung von den bezahlten Mittagessensbeiträgen für das jeweilige Kalenderjahr wird anhand folgender Tabelle ermittelt:</w:t>
      </w:r>
    </w:p>
    <w:p w14:paraId="5C660CC8" w14:textId="77777777" w:rsidR="004C0A9E" w:rsidRPr="00004F3D" w:rsidRDefault="004C0A9E" w:rsidP="004C0A9E">
      <w:pPr>
        <w:tabs>
          <w:tab w:val="num" w:pos="993"/>
        </w:tabs>
        <w:spacing w:line="240" w:lineRule="auto"/>
        <w:jc w:val="both"/>
        <w:rPr>
          <w:rFonts w:cs="Arial"/>
          <w:color w:val="333333"/>
          <w:sz w:val="20"/>
          <w:szCs w:val="24"/>
          <w:lang w:eastAsia="de-AT"/>
        </w:rPr>
      </w:pPr>
    </w:p>
    <w:tbl>
      <w:tblPr>
        <w:tblW w:w="5009" w:type="pct"/>
        <w:tblInd w:w="-8" w:type="dxa"/>
        <w:tblCellMar>
          <w:left w:w="0" w:type="dxa"/>
          <w:right w:w="0" w:type="dxa"/>
        </w:tblCellMar>
        <w:tblLook w:val="04A0" w:firstRow="1" w:lastRow="0" w:firstColumn="1" w:lastColumn="0" w:noHBand="0" w:noVBand="1"/>
      </w:tblPr>
      <w:tblGrid>
        <w:gridCol w:w="5195"/>
        <w:gridCol w:w="4302"/>
      </w:tblGrid>
      <w:tr w:rsidR="004C0A9E" w:rsidRPr="00004F3D" w14:paraId="24B8C4B6" w14:textId="77777777" w:rsidTr="004C0A9E">
        <w:trPr>
          <w:tblHeader/>
        </w:trPr>
        <w:tc>
          <w:tcPr>
            <w:tcW w:w="2735" w:type="pct"/>
            <w:tcBorders>
              <w:top w:val="single" w:sz="6" w:space="0" w:color="E4E4E4"/>
              <w:left w:val="single" w:sz="6" w:space="0" w:color="E4E4E4"/>
              <w:bottom w:val="single" w:sz="6" w:space="0" w:color="E4E4E4"/>
              <w:right w:val="single" w:sz="6" w:space="0" w:color="E4E4E4"/>
            </w:tcBorders>
            <w:shd w:val="clear" w:color="auto" w:fill="FAF5F1"/>
            <w:tcMar>
              <w:top w:w="75" w:type="dxa"/>
              <w:left w:w="75" w:type="dxa"/>
              <w:bottom w:w="75" w:type="dxa"/>
              <w:right w:w="75" w:type="dxa"/>
            </w:tcMar>
            <w:hideMark/>
          </w:tcPr>
          <w:p w14:paraId="52054666" w14:textId="77777777" w:rsidR="004C0A9E" w:rsidRPr="00004F3D" w:rsidRDefault="004C0A9E" w:rsidP="004C0A9E">
            <w:pPr>
              <w:spacing w:before="300" w:line="240" w:lineRule="auto"/>
              <w:jc w:val="center"/>
              <w:rPr>
                <w:rFonts w:cs="Arial"/>
                <w:b/>
                <w:color w:val="333333"/>
                <w:spacing w:val="5"/>
                <w:sz w:val="20"/>
                <w:szCs w:val="24"/>
                <w:lang w:eastAsia="de-AT"/>
              </w:rPr>
            </w:pPr>
            <w:r w:rsidRPr="00004F3D">
              <w:rPr>
                <w:rFonts w:cs="Arial"/>
                <w:b/>
                <w:color w:val="333333"/>
                <w:spacing w:val="5"/>
                <w:sz w:val="20"/>
                <w:szCs w:val="24"/>
                <w:lang w:eastAsia="de-AT"/>
              </w:rPr>
              <w:t>prozentuelle Teilrückerstattung der entrichteten Mittagessensbeiträge</w:t>
            </w:r>
          </w:p>
        </w:tc>
        <w:tc>
          <w:tcPr>
            <w:tcW w:w="2265" w:type="pct"/>
            <w:tcBorders>
              <w:top w:val="single" w:sz="6" w:space="0" w:color="E4E4E4"/>
              <w:left w:val="single" w:sz="6" w:space="0" w:color="E4E4E4"/>
              <w:bottom w:val="single" w:sz="6" w:space="0" w:color="E4E4E4"/>
              <w:right w:val="single" w:sz="6" w:space="0" w:color="E4E4E4"/>
            </w:tcBorders>
            <w:shd w:val="clear" w:color="auto" w:fill="FAF5F1"/>
            <w:tcMar>
              <w:top w:w="75" w:type="dxa"/>
              <w:left w:w="75" w:type="dxa"/>
              <w:bottom w:w="75" w:type="dxa"/>
              <w:right w:w="75" w:type="dxa"/>
            </w:tcMar>
            <w:hideMark/>
          </w:tcPr>
          <w:p w14:paraId="2F6A868E" w14:textId="77777777" w:rsidR="004C0A9E" w:rsidRPr="00004F3D" w:rsidRDefault="004C0A9E" w:rsidP="004C0A9E">
            <w:pPr>
              <w:spacing w:before="300" w:line="240" w:lineRule="auto"/>
              <w:jc w:val="center"/>
              <w:rPr>
                <w:rFonts w:cs="Arial"/>
                <w:b/>
                <w:color w:val="333333"/>
                <w:spacing w:val="5"/>
                <w:sz w:val="20"/>
                <w:szCs w:val="24"/>
                <w:lang w:eastAsia="de-AT"/>
              </w:rPr>
            </w:pPr>
            <w:r w:rsidRPr="00004F3D">
              <w:rPr>
                <w:rFonts w:cs="Arial"/>
                <w:b/>
                <w:color w:val="333333"/>
                <w:spacing w:val="5"/>
                <w:sz w:val="20"/>
                <w:szCs w:val="24"/>
                <w:lang w:eastAsia="de-AT"/>
              </w:rPr>
              <w:t>gewichtetes Pro-Kopf-Einkommen</w:t>
            </w:r>
          </w:p>
        </w:tc>
      </w:tr>
      <w:tr w:rsidR="004C0A9E" w:rsidRPr="00004F3D" w14:paraId="2B0CA3BC" w14:textId="77777777" w:rsidTr="004C0A9E">
        <w:tc>
          <w:tcPr>
            <w:tcW w:w="2735" w:type="pct"/>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14:paraId="5F5F4CC3" w14:textId="77777777" w:rsidR="004C0A9E" w:rsidRPr="00004F3D" w:rsidRDefault="004C0A9E" w:rsidP="004C0A9E">
            <w:pPr>
              <w:spacing w:before="300" w:line="240" w:lineRule="auto"/>
              <w:jc w:val="both"/>
              <w:rPr>
                <w:rFonts w:cs="Arial"/>
                <w:color w:val="333333"/>
                <w:spacing w:val="5"/>
                <w:sz w:val="20"/>
                <w:szCs w:val="24"/>
                <w:lang w:eastAsia="de-AT"/>
              </w:rPr>
            </w:pPr>
            <w:r w:rsidRPr="00004F3D">
              <w:rPr>
                <w:rFonts w:cs="Arial"/>
                <w:color w:val="333333"/>
                <w:spacing w:val="5"/>
                <w:sz w:val="20"/>
                <w:szCs w:val="24"/>
                <w:lang w:eastAsia="de-AT"/>
              </w:rPr>
              <w:t>75 %</w:t>
            </w:r>
          </w:p>
        </w:tc>
        <w:tc>
          <w:tcPr>
            <w:tcW w:w="2265" w:type="pct"/>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14:paraId="6610BC17" w14:textId="7EDD17EA" w:rsidR="004C0A9E" w:rsidRPr="00004F3D" w:rsidRDefault="00CE0ADA" w:rsidP="004C0A9E">
            <w:pPr>
              <w:spacing w:before="300" w:line="240" w:lineRule="auto"/>
              <w:jc w:val="both"/>
              <w:rPr>
                <w:rFonts w:cs="Arial"/>
                <w:color w:val="333333"/>
                <w:spacing w:val="5"/>
                <w:sz w:val="20"/>
                <w:szCs w:val="24"/>
                <w:lang w:eastAsia="de-AT"/>
              </w:rPr>
            </w:pPr>
            <w:r w:rsidRPr="00004F3D">
              <w:rPr>
                <w:rFonts w:cs="Arial"/>
                <w:color w:val="333333"/>
                <w:spacing w:val="5"/>
                <w:sz w:val="20"/>
                <w:szCs w:val="24"/>
                <w:lang w:eastAsia="de-AT"/>
              </w:rPr>
              <w:t>706,30</w:t>
            </w:r>
            <w:r w:rsidR="004C0A9E" w:rsidRPr="00004F3D">
              <w:rPr>
                <w:rFonts w:cs="Arial"/>
                <w:color w:val="333333"/>
                <w:spacing w:val="5"/>
                <w:sz w:val="20"/>
                <w:szCs w:val="24"/>
                <w:lang w:eastAsia="de-AT"/>
              </w:rPr>
              <w:t xml:space="preserve"> Euro oder weniger</w:t>
            </w:r>
          </w:p>
        </w:tc>
      </w:tr>
      <w:tr w:rsidR="004C0A9E" w:rsidRPr="00004F3D" w14:paraId="497183CD" w14:textId="77777777" w:rsidTr="004C0A9E">
        <w:tc>
          <w:tcPr>
            <w:tcW w:w="2735" w:type="pct"/>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14:paraId="1EF233EC" w14:textId="77777777" w:rsidR="004C0A9E" w:rsidRPr="00004F3D" w:rsidRDefault="004C0A9E" w:rsidP="004C0A9E">
            <w:pPr>
              <w:spacing w:before="300" w:line="240" w:lineRule="auto"/>
              <w:jc w:val="both"/>
              <w:rPr>
                <w:rFonts w:cs="Arial"/>
                <w:color w:val="333333"/>
                <w:spacing w:val="5"/>
                <w:sz w:val="20"/>
                <w:szCs w:val="24"/>
                <w:lang w:eastAsia="de-AT"/>
              </w:rPr>
            </w:pPr>
            <w:r w:rsidRPr="00004F3D">
              <w:rPr>
                <w:rFonts w:cs="Arial"/>
                <w:color w:val="333333"/>
                <w:spacing w:val="5"/>
                <w:sz w:val="20"/>
                <w:szCs w:val="24"/>
                <w:lang w:eastAsia="de-AT"/>
              </w:rPr>
              <w:t>50 %</w:t>
            </w:r>
          </w:p>
        </w:tc>
        <w:tc>
          <w:tcPr>
            <w:tcW w:w="2265" w:type="pct"/>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14:paraId="4CBEA94B" w14:textId="5CCAAEFE" w:rsidR="004C0A9E" w:rsidRPr="00004F3D" w:rsidRDefault="00CE0ADA" w:rsidP="004C0A9E">
            <w:pPr>
              <w:spacing w:before="300" w:line="240" w:lineRule="auto"/>
              <w:jc w:val="both"/>
              <w:rPr>
                <w:rFonts w:cs="Arial"/>
                <w:color w:val="333333"/>
                <w:spacing w:val="5"/>
                <w:sz w:val="20"/>
                <w:szCs w:val="24"/>
                <w:lang w:eastAsia="de-AT"/>
              </w:rPr>
            </w:pPr>
            <w:r w:rsidRPr="00004F3D">
              <w:rPr>
                <w:rFonts w:cs="Arial"/>
                <w:color w:val="333333"/>
                <w:spacing w:val="5"/>
                <w:sz w:val="20"/>
                <w:szCs w:val="24"/>
                <w:lang w:eastAsia="de-AT"/>
              </w:rPr>
              <w:t>706,31</w:t>
            </w:r>
            <w:r w:rsidR="00C97968" w:rsidRPr="00004F3D">
              <w:rPr>
                <w:rFonts w:cs="Arial"/>
                <w:color w:val="333333"/>
                <w:spacing w:val="5"/>
                <w:sz w:val="20"/>
                <w:szCs w:val="24"/>
                <w:lang w:eastAsia="de-AT"/>
              </w:rPr>
              <w:t xml:space="preserve"> </w:t>
            </w:r>
            <w:r w:rsidRPr="00004F3D">
              <w:rPr>
                <w:rFonts w:cs="Arial"/>
                <w:color w:val="333333"/>
                <w:spacing w:val="5"/>
                <w:sz w:val="20"/>
                <w:szCs w:val="24"/>
                <w:lang w:eastAsia="de-AT"/>
              </w:rPr>
              <w:t>–</w:t>
            </w:r>
            <w:r w:rsidR="00C97968" w:rsidRPr="00004F3D">
              <w:rPr>
                <w:rFonts w:cs="Arial"/>
                <w:color w:val="333333"/>
                <w:spacing w:val="5"/>
                <w:sz w:val="20"/>
                <w:szCs w:val="24"/>
                <w:lang w:eastAsia="de-AT"/>
              </w:rPr>
              <w:t xml:space="preserve"> </w:t>
            </w:r>
            <w:r w:rsidRPr="00004F3D">
              <w:rPr>
                <w:rFonts w:cs="Arial"/>
                <w:color w:val="333333"/>
                <w:spacing w:val="5"/>
                <w:sz w:val="20"/>
                <w:szCs w:val="24"/>
                <w:lang w:eastAsia="de-AT"/>
              </w:rPr>
              <w:t>847,80</w:t>
            </w:r>
            <w:r w:rsidR="004C0A9E" w:rsidRPr="00004F3D">
              <w:rPr>
                <w:rFonts w:cs="Arial"/>
                <w:color w:val="333333"/>
                <w:spacing w:val="5"/>
                <w:sz w:val="20"/>
                <w:szCs w:val="24"/>
                <w:lang w:eastAsia="de-AT"/>
              </w:rPr>
              <w:t xml:space="preserve"> Euro</w:t>
            </w:r>
          </w:p>
        </w:tc>
      </w:tr>
      <w:tr w:rsidR="004C0A9E" w:rsidRPr="00004F3D" w14:paraId="102C1CEB" w14:textId="77777777" w:rsidTr="004C0A9E">
        <w:tc>
          <w:tcPr>
            <w:tcW w:w="2735" w:type="pct"/>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14:paraId="22DA3C58" w14:textId="77777777" w:rsidR="004C0A9E" w:rsidRPr="00004F3D" w:rsidRDefault="004C0A9E" w:rsidP="004C0A9E">
            <w:pPr>
              <w:spacing w:before="300" w:line="240" w:lineRule="auto"/>
              <w:jc w:val="both"/>
              <w:rPr>
                <w:rFonts w:cs="Arial"/>
                <w:color w:val="333333"/>
                <w:spacing w:val="5"/>
                <w:sz w:val="20"/>
                <w:szCs w:val="24"/>
                <w:lang w:eastAsia="de-AT"/>
              </w:rPr>
            </w:pPr>
            <w:r w:rsidRPr="00004F3D">
              <w:rPr>
                <w:rFonts w:cs="Arial"/>
                <w:color w:val="333333"/>
                <w:spacing w:val="5"/>
                <w:sz w:val="20"/>
                <w:szCs w:val="24"/>
                <w:lang w:eastAsia="de-AT"/>
              </w:rPr>
              <w:t>25 %</w:t>
            </w:r>
          </w:p>
        </w:tc>
        <w:tc>
          <w:tcPr>
            <w:tcW w:w="2265" w:type="pct"/>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14:paraId="2949D2E3" w14:textId="40B5506B" w:rsidR="004C0A9E" w:rsidRPr="00004F3D" w:rsidRDefault="00CE0ADA" w:rsidP="004C0A9E">
            <w:pPr>
              <w:spacing w:before="300" w:line="240" w:lineRule="auto"/>
              <w:jc w:val="both"/>
              <w:rPr>
                <w:rFonts w:cs="Arial"/>
                <w:color w:val="333333"/>
                <w:spacing w:val="5"/>
                <w:sz w:val="20"/>
                <w:szCs w:val="24"/>
                <w:lang w:eastAsia="de-AT"/>
              </w:rPr>
            </w:pPr>
            <w:r w:rsidRPr="00004F3D">
              <w:rPr>
                <w:rFonts w:cs="Arial"/>
                <w:color w:val="333333"/>
                <w:spacing w:val="5"/>
                <w:sz w:val="20"/>
                <w:szCs w:val="24"/>
                <w:lang w:eastAsia="de-AT"/>
              </w:rPr>
              <w:t>847,81</w:t>
            </w:r>
            <w:r w:rsidR="00C97968" w:rsidRPr="00004F3D">
              <w:rPr>
                <w:rFonts w:cs="Arial"/>
                <w:color w:val="333333"/>
                <w:spacing w:val="5"/>
                <w:sz w:val="20"/>
                <w:szCs w:val="24"/>
                <w:lang w:eastAsia="de-AT"/>
              </w:rPr>
              <w:t xml:space="preserve"> </w:t>
            </w:r>
            <w:r w:rsidRPr="00004F3D">
              <w:rPr>
                <w:rFonts w:cs="Arial"/>
                <w:color w:val="333333"/>
                <w:spacing w:val="5"/>
                <w:sz w:val="20"/>
                <w:szCs w:val="24"/>
                <w:lang w:eastAsia="de-AT"/>
              </w:rPr>
              <w:t>–</w:t>
            </w:r>
            <w:r w:rsidR="00C97968" w:rsidRPr="00004F3D">
              <w:rPr>
                <w:rFonts w:cs="Arial"/>
                <w:color w:val="333333"/>
                <w:spacing w:val="5"/>
                <w:sz w:val="20"/>
                <w:szCs w:val="24"/>
                <w:lang w:eastAsia="de-AT"/>
              </w:rPr>
              <w:t xml:space="preserve"> </w:t>
            </w:r>
            <w:r w:rsidRPr="00004F3D">
              <w:rPr>
                <w:rFonts w:cs="Arial"/>
                <w:color w:val="333333"/>
                <w:spacing w:val="5"/>
                <w:sz w:val="20"/>
                <w:szCs w:val="24"/>
                <w:lang w:eastAsia="de-AT"/>
              </w:rPr>
              <w:t>988,90</w:t>
            </w:r>
            <w:r w:rsidR="004C0A9E" w:rsidRPr="00004F3D">
              <w:rPr>
                <w:rFonts w:cs="Arial"/>
                <w:color w:val="333333"/>
                <w:spacing w:val="5"/>
                <w:sz w:val="20"/>
                <w:szCs w:val="24"/>
                <w:lang w:eastAsia="de-AT"/>
              </w:rPr>
              <w:t xml:space="preserve"> Euro</w:t>
            </w:r>
          </w:p>
        </w:tc>
      </w:tr>
    </w:tbl>
    <w:p w14:paraId="075E1DAB" w14:textId="77777777" w:rsidR="004C0A9E" w:rsidRPr="00004F3D" w:rsidRDefault="004C0A9E" w:rsidP="004C0A9E">
      <w:pPr>
        <w:spacing w:line="240" w:lineRule="auto"/>
        <w:jc w:val="both"/>
        <w:rPr>
          <w:rFonts w:cs="Arial"/>
          <w:color w:val="333333"/>
          <w:sz w:val="20"/>
          <w:szCs w:val="24"/>
          <w:lang w:eastAsia="de-AT"/>
        </w:rPr>
      </w:pPr>
    </w:p>
    <w:p w14:paraId="40A4E8BC" w14:textId="77777777" w:rsidR="004C0A9E" w:rsidRPr="00004F3D" w:rsidRDefault="004C0A9E" w:rsidP="004C0A9E">
      <w:pPr>
        <w:spacing w:after="225" w:line="240" w:lineRule="auto"/>
        <w:jc w:val="both"/>
        <w:rPr>
          <w:rFonts w:cs="Arial"/>
          <w:b/>
          <w:color w:val="333333"/>
          <w:sz w:val="20"/>
          <w:szCs w:val="24"/>
          <w:lang w:eastAsia="de-AT"/>
        </w:rPr>
      </w:pPr>
      <w:r w:rsidRPr="00004F3D">
        <w:rPr>
          <w:rFonts w:cs="Arial"/>
          <w:b/>
          <w:color w:val="333333"/>
          <w:sz w:val="20"/>
          <w:szCs w:val="24"/>
          <w:lang w:eastAsia="de-AT"/>
        </w:rPr>
        <w:t xml:space="preserve">Berechnung: </w:t>
      </w:r>
    </w:p>
    <w:p w14:paraId="1181564E" w14:textId="77777777" w:rsidR="004C0A9E" w:rsidRPr="00004F3D" w:rsidRDefault="004C0A9E" w:rsidP="004C0A9E">
      <w:pPr>
        <w:spacing w:after="225" w:line="240" w:lineRule="auto"/>
        <w:jc w:val="both"/>
        <w:rPr>
          <w:rFonts w:cs="Arial"/>
          <w:color w:val="333333"/>
          <w:sz w:val="20"/>
          <w:szCs w:val="24"/>
          <w:lang w:eastAsia="de-AT"/>
        </w:rPr>
      </w:pPr>
      <w:r w:rsidRPr="00004F3D">
        <w:rPr>
          <w:rFonts w:cs="Arial"/>
          <w:color w:val="333333"/>
          <w:sz w:val="20"/>
          <w:szCs w:val="24"/>
          <w:lang w:eastAsia="de-AT"/>
        </w:rPr>
        <w:t xml:space="preserve">Das gewichtete Einkommen errechnet sich wie folgt: Familieneinkommen (Jahreseinkommen/12, Kinderbetreuungsgeld, Arbeitslosengeld, Krankengeld, Alimente etc.) dividiert durch den errechneten Gewichtungsfaktor. </w:t>
      </w:r>
    </w:p>
    <w:p w14:paraId="29D8B84B" w14:textId="77777777" w:rsidR="004C0A9E" w:rsidRPr="00004F3D" w:rsidRDefault="004C0A9E" w:rsidP="004C0A9E">
      <w:pPr>
        <w:spacing w:after="225" w:line="240" w:lineRule="auto"/>
        <w:jc w:val="both"/>
        <w:rPr>
          <w:rFonts w:cs="Arial"/>
          <w:color w:val="333333"/>
          <w:sz w:val="20"/>
          <w:szCs w:val="24"/>
          <w:lang w:eastAsia="de-AT"/>
        </w:rPr>
      </w:pPr>
      <w:r w:rsidRPr="00004F3D">
        <w:rPr>
          <w:rFonts w:cs="Arial"/>
          <w:color w:val="333333"/>
          <w:sz w:val="20"/>
          <w:szCs w:val="24"/>
          <w:lang w:eastAsia="de-AT"/>
        </w:rPr>
        <w:t xml:space="preserve">Der Gewichtungsfaktor setzt sich aus den Familienmitgliedern zusammen: </w:t>
      </w:r>
    </w:p>
    <w:p w14:paraId="7A22D36F" w14:textId="77777777" w:rsidR="004C0A9E" w:rsidRPr="00004F3D" w:rsidRDefault="004C0A9E" w:rsidP="004C0A9E">
      <w:pPr>
        <w:numPr>
          <w:ilvl w:val="0"/>
          <w:numId w:val="2"/>
        </w:numPr>
        <w:spacing w:before="100" w:beforeAutospacing="1" w:after="75" w:line="240" w:lineRule="auto"/>
        <w:ind w:left="495"/>
        <w:jc w:val="both"/>
        <w:rPr>
          <w:rFonts w:cs="Arial"/>
          <w:color w:val="333333"/>
          <w:sz w:val="20"/>
          <w:szCs w:val="24"/>
          <w:lang w:eastAsia="de-AT"/>
        </w:rPr>
      </w:pPr>
      <w:r w:rsidRPr="00004F3D">
        <w:rPr>
          <w:rFonts w:cs="Arial"/>
          <w:color w:val="333333"/>
          <w:sz w:val="20"/>
          <w:szCs w:val="24"/>
          <w:lang w:eastAsia="de-AT"/>
        </w:rPr>
        <w:t>für die Förderungswerberin oder den Förderungswerber: 1,0</w:t>
      </w:r>
    </w:p>
    <w:p w14:paraId="25164063" w14:textId="77777777" w:rsidR="004C0A9E" w:rsidRPr="00004F3D" w:rsidRDefault="004C0A9E" w:rsidP="004C0A9E">
      <w:pPr>
        <w:numPr>
          <w:ilvl w:val="0"/>
          <w:numId w:val="2"/>
        </w:numPr>
        <w:spacing w:before="100" w:beforeAutospacing="1" w:after="75" w:line="240" w:lineRule="auto"/>
        <w:ind w:left="495"/>
        <w:jc w:val="both"/>
        <w:rPr>
          <w:rFonts w:cs="Arial"/>
          <w:color w:val="333333"/>
          <w:sz w:val="20"/>
          <w:szCs w:val="24"/>
          <w:lang w:eastAsia="de-AT"/>
        </w:rPr>
      </w:pPr>
      <w:r w:rsidRPr="00004F3D">
        <w:rPr>
          <w:rFonts w:cs="Arial"/>
          <w:color w:val="333333"/>
          <w:sz w:val="20"/>
          <w:szCs w:val="24"/>
          <w:lang w:eastAsia="de-AT"/>
        </w:rPr>
        <w:t>für die Partnerin oder den Partner: 0,8</w:t>
      </w:r>
    </w:p>
    <w:p w14:paraId="61B0E191" w14:textId="77777777" w:rsidR="004C0A9E" w:rsidRPr="00004F3D" w:rsidRDefault="004C0A9E" w:rsidP="004C0A9E">
      <w:pPr>
        <w:numPr>
          <w:ilvl w:val="0"/>
          <w:numId w:val="2"/>
        </w:numPr>
        <w:spacing w:before="100" w:beforeAutospacing="1" w:after="75" w:line="240" w:lineRule="auto"/>
        <w:ind w:left="495"/>
        <w:jc w:val="both"/>
        <w:rPr>
          <w:rFonts w:cs="Arial"/>
          <w:color w:val="333333"/>
          <w:sz w:val="20"/>
          <w:szCs w:val="24"/>
          <w:lang w:eastAsia="de-AT"/>
        </w:rPr>
      </w:pPr>
      <w:r w:rsidRPr="00004F3D">
        <w:rPr>
          <w:rFonts w:cs="Arial"/>
          <w:color w:val="333333"/>
          <w:sz w:val="20"/>
          <w:szCs w:val="24"/>
          <w:lang w:eastAsia="de-AT"/>
        </w:rPr>
        <w:t>für jedes Kind, für das ein Anspruch auf Familienbeihilfe besteht: 0,5</w:t>
      </w:r>
    </w:p>
    <w:p w14:paraId="59CA5C14" w14:textId="77777777" w:rsidR="004C0A9E" w:rsidRPr="00004F3D" w:rsidRDefault="004C0A9E" w:rsidP="004C0A9E">
      <w:pPr>
        <w:numPr>
          <w:ilvl w:val="0"/>
          <w:numId w:val="2"/>
        </w:numPr>
        <w:spacing w:before="100" w:beforeAutospacing="1" w:after="75" w:line="240" w:lineRule="auto"/>
        <w:ind w:left="495"/>
        <w:jc w:val="both"/>
        <w:rPr>
          <w:rFonts w:cs="Arial"/>
          <w:color w:val="333333"/>
          <w:sz w:val="20"/>
          <w:szCs w:val="24"/>
          <w:lang w:eastAsia="de-AT"/>
        </w:rPr>
      </w:pPr>
      <w:r w:rsidRPr="00004F3D">
        <w:rPr>
          <w:rFonts w:cs="Arial"/>
          <w:color w:val="333333"/>
          <w:sz w:val="20"/>
          <w:szCs w:val="24"/>
          <w:lang w:eastAsia="de-AT"/>
        </w:rPr>
        <w:t xml:space="preserve">für Alleinerzieherinnen oder Alleinerzieher: 1,2 </w:t>
      </w:r>
    </w:p>
    <w:p w14:paraId="433B5464" w14:textId="77777777" w:rsidR="004C0A9E" w:rsidRPr="00004F3D" w:rsidRDefault="004C0A9E" w:rsidP="004C0A9E">
      <w:pPr>
        <w:spacing w:before="225" w:after="225" w:line="240" w:lineRule="auto"/>
        <w:jc w:val="both"/>
        <w:rPr>
          <w:rFonts w:cs="Arial"/>
          <w:color w:val="333333"/>
          <w:sz w:val="20"/>
          <w:szCs w:val="24"/>
          <w:lang w:eastAsia="de-AT"/>
        </w:rPr>
      </w:pPr>
      <w:r w:rsidRPr="00004F3D">
        <w:rPr>
          <w:rFonts w:cs="Arial"/>
          <w:color w:val="333333"/>
          <w:sz w:val="20"/>
          <w:szCs w:val="24"/>
          <w:u w:val="single"/>
          <w:lang w:eastAsia="de-AT"/>
        </w:rPr>
        <w:t>Berechnungsbeispiel</w:t>
      </w:r>
      <w:r w:rsidRPr="00004F3D">
        <w:rPr>
          <w:rFonts w:cs="Arial"/>
          <w:color w:val="333333"/>
          <w:sz w:val="20"/>
          <w:szCs w:val="24"/>
          <w:lang w:eastAsia="de-AT"/>
        </w:rPr>
        <w:t xml:space="preserve">: Förderwerber und Partnerin mit 2 Kindern ergibt einen Gewichtungsfaktor von 2,8. </w:t>
      </w:r>
    </w:p>
    <w:p w14:paraId="56215419" w14:textId="4915747A" w:rsidR="004C0A9E" w:rsidRPr="00004F3D" w:rsidRDefault="004C0A9E" w:rsidP="004C0A9E">
      <w:pPr>
        <w:spacing w:before="225" w:after="225" w:line="240" w:lineRule="auto"/>
        <w:jc w:val="both"/>
        <w:rPr>
          <w:rFonts w:cs="Arial"/>
          <w:color w:val="333333"/>
          <w:sz w:val="20"/>
          <w:szCs w:val="24"/>
          <w:lang w:eastAsia="de-AT"/>
        </w:rPr>
      </w:pPr>
      <w:r w:rsidRPr="00004F3D">
        <w:rPr>
          <w:rFonts w:cs="Arial"/>
          <w:b/>
          <w:color w:val="333333"/>
          <w:sz w:val="20"/>
          <w:szCs w:val="24"/>
          <w:lang w:eastAsia="de-AT"/>
        </w:rPr>
        <w:t>Einkommensgrenze:</w:t>
      </w:r>
      <w:r w:rsidRPr="00004F3D">
        <w:rPr>
          <w:rFonts w:cs="Arial"/>
          <w:color w:val="333333"/>
          <w:sz w:val="20"/>
          <w:szCs w:val="24"/>
          <w:lang w:eastAsia="de-AT"/>
        </w:rPr>
        <w:t xml:space="preserve"> Das monatliche Familiennettoeinkommen dividiert durch den Gewichtungsfaktor („gewichtetes Pro-Kopf-Einkommen“) darf die Höchstgrenze von </w:t>
      </w:r>
      <w:r w:rsidR="00CE0ADA" w:rsidRPr="00004F3D">
        <w:rPr>
          <w:rFonts w:cs="Arial"/>
          <w:color w:val="333333"/>
          <w:sz w:val="20"/>
          <w:szCs w:val="24"/>
          <w:lang w:eastAsia="de-AT"/>
        </w:rPr>
        <w:t>988,90</w:t>
      </w:r>
      <w:r w:rsidRPr="00004F3D">
        <w:rPr>
          <w:rFonts w:cs="Arial"/>
          <w:color w:val="333333"/>
          <w:sz w:val="20"/>
          <w:szCs w:val="24"/>
          <w:lang w:eastAsia="de-AT"/>
        </w:rPr>
        <w:t xml:space="preserve"> Euro nicht übersteigen (Allgemeine Förderungsvoraussetzungen). </w:t>
      </w:r>
    </w:p>
    <w:p w14:paraId="57A41FC4" w14:textId="77777777" w:rsidR="004C0A9E" w:rsidRPr="00004F3D" w:rsidRDefault="004C0A9E" w:rsidP="004C0A9E">
      <w:pPr>
        <w:spacing w:before="225" w:after="225" w:line="240" w:lineRule="auto"/>
        <w:jc w:val="both"/>
        <w:rPr>
          <w:rFonts w:cs="Arial"/>
          <w:b/>
          <w:color w:val="333333"/>
          <w:sz w:val="20"/>
          <w:szCs w:val="24"/>
          <w:lang w:eastAsia="de-AT"/>
        </w:rPr>
      </w:pPr>
      <w:r w:rsidRPr="00004F3D">
        <w:rPr>
          <w:rFonts w:cs="Arial"/>
          <w:b/>
          <w:color w:val="333333"/>
          <w:sz w:val="20"/>
          <w:szCs w:val="24"/>
          <w:lang w:eastAsia="de-AT"/>
        </w:rPr>
        <w:lastRenderedPageBreak/>
        <w:t>Ausschlussgründe und Rückforderung</w:t>
      </w:r>
    </w:p>
    <w:p w14:paraId="4E63967E" w14:textId="77777777" w:rsidR="004C0A9E" w:rsidRPr="00004F3D" w:rsidRDefault="004C0A9E" w:rsidP="004C0A9E">
      <w:pPr>
        <w:pStyle w:val="Default"/>
        <w:jc w:val="both"/>
        <w:rPr>
          <w:color w:val="auto"/>
          <w:sz w:val="19"/>
          <w:szCs w:val="19"/>
        </w:rPr>
      </w:pPr>
      <w:r w:rsidRPr="00004F3D">
        <w:rPr>
          <w:color w:val="auto"/>
          <w:sz w:val="19"/>
          <w:szCs w:val="19"/>
        </w:rPr>
        <w:t xml:space="preserve">Die Mittagessensförderung ist zurückzuerstatten, wenn diese aufgrund unrichtiger oder falscher Angaben zu Unrecht bezogen wurde oder wenn die Fördervoraussetzungen wegfallen (Abmeldung von der Kinderbetreuungseinrichtung, Verlegung des Hauptwohnsitzes außerhalb des Burgenlandes). </w:t>
      </w:r>
    </w:p>
    <w:p w14:paraId="5D913604" w14:textId="77777777" w:rsidR="004C0A9E" w:rsidRPr="00004F3D" w:rsidRDefault="004C0A9E" w:rsidP="004C0A9E">
      <w:pPr>
        <w:spacing w:line="240" w:lineRule="auto"/>
        <w:jc w:val="both"/>
        <w:rPr>
          <w:sz w:val="20"/>
        </w:rPr>
      </w:pPr>
      <w:r w:rsidRPr="00004F3D">
        <w:rPr>
          <w:sz w:val="20"/>
        </w:rPr>
        <w:t xml:space="preserve">Es besteht kein Rechtsanspruch auf Gewährung der Mittagessensförderung. </w:t>
      </w:r>
    </w:p>
    <w:p w14:paraId="26D213EB" w14:textId="77777777" w:rsidR="004C0A9E" w:rsidRPr="00004F3D" w:rsidRDefault="004C0A9E" w:rsidP="004C0A9E">
      <w:pPr>
        <w:autoSpaceDE w:val="0"/>
        <w:autoSpaceDN w:val="0"/>
        <w:adjustRightInd w:val="0"/>
        <w:spacing w:line="240" w:lineRule="auto"/>
        <w:jc w:val="both"/>
        <w:rPr>
          <w:rFonts w:cs="Arial"/>
          <w:b/>
          <w:color w:val="000000"/>
          <w:sz w:val="20"/>
          <w:lang w:eastAsia="de-AT"/>
        </w:rPr>
      </w:pPr>
      <w:r w:rsidRPr="00004F3D">
        <w:rPr>
          <w:rFonts w:cs="Arial"/>
          <w:b/>
          <w:color w:val="000000"/>
          <w:sz w:val="20"/>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452D764" w14:textId="77777777" w:rsidR="004C0A9E" w:rsidRPr="00004F3D" w:rsidRDefault="004C0A9E" w:rsidP="004C0A9E">
      <w:pPr>
        <w:spacing w:line="240" w:lineRule="auto"/>
        <w:jc w:val="both"/>
        <w:rPr>
          <w:rFonts w:cs="Arial"/>
          <w:bCs/>
          <w:sz w:val="20"/>
        </w:rPr>
      </w:pPr>
    </w:p>
    <w:p w14:paraId="591DF9EF" w14:textId="77777777" w:rsidR="00FC4A4C" w:rsidRPr="00004F3D" w:rsidRDefault="00FC4A4C" w:rsidP="00FC4A4C">
      <w:pPr>
        <w:spacing w:before="225" w:after="120" w:line="240" w:lineRule="auto"/>
        <w:jc w:val="both"/>
        <w:rPr>
          <w:rFonts w:cs="Arial"/>
          <w:b/>
          <w:color w:val="333333"/>
          <w:sz w:val="20"/>
          <w:lang w:eastAsia="de-AT"/>
        </w:rPr>
      </w:pPr>
      <w:r w:rsidRPr="00004F3D">
        <w:rPr>
          <w:rFonts w:cs="Arial"/>
          <w:b/>
          <w:color w:val="333333"/>
          <w:sz w:val="20"/>
          <w:lang w:eastAsia="de-AT"/>
        </w:rPr>
        <w:t>Unterlagen</w:t>
      </w:r>
    </w:p>
    <w:p w14:paraId="6E0A2129" w14:textId="77777777" w:rsidR="00FC4A4C" w:rsidRPr="00004F3D" w:rsidRDefault="00FC4A4C" w:rsidP="00FC4A4C">
      <w:pPr>
        <w:pStyle w:val="Default"/>
        <w:spacing w:after="120"/>
        <w:jc w:val="both"/>
        <w:rPr>
          <w:color w:val="auto"/>
          <w:sz w:val="19"/>
          <w:szCs w:val="19"/>
        </w:rPr>
      </w:pPr>
      <w:r w:rsidRPr="00004F3D">
        <w:rPr>
          <w:color w:val="auto"/>
          <w:sz w:val="19"/>
          <w:szCs w:val="19"/>
        </w:rPr>
        <w:t>Folgende Nachweise über das Familieneinkommen sind dem Antrag anzuschließen:</w:t>
      </w:r>
    </w:p>
    <w:p w14:paraId="15A70BD9" w14:textId="77777777" w:rsidR="00FC4A4C" w:rsidRPr="00004F3D" w:rsidRDefault="00FC4A4C" w:rsidP="00FC4A4C">
      <w:pPr>
        <w:pStyle w:val="Default"/>
        <w:jc w:val="both"/>
        <w:rPr>
          <w:b/>
          <w:color w:val="auto"/>
          <w:sz w:val="19"/>
          <w:szCs w:val="19"/>
        </w:rPr>
      </w:pPr>
      <w:r w:rsidRPr="00004F3D">
        <w:rPr>
          <w:b/>
          <w:color w:val="auto"/>
          <w:sz w:val="19"/>
          <w:szCs w:val="19"/>
        </w:rPr>
        <w:t>Unselbständig Erwerbstätige:</w:t>
      </w:r>
    </w:p>
    <w:p w14:paraId="447E3150" w14:textId="5C2A41FF" w:rsidR="007953D4" w:rsidRPr="00004F3D" w:rsidRDefault="007953D4" w:rsidP="007953D4">
      <w:pPr>
        <w:pStyle w:val="Default"/>
        <w:numPr>
          <w:ilvl w:val="0"/>
          <w:numId w:val="5"/>
        </w:numPr>
        <w:ind w:left="426" w:hanging="284"/>
        <w:jc w:val="both"/>
        <w:rPr>
          <w:color w:val="auto"/>
          <w:sz w:val="19"/>
          <w:szCs w:val="19"/>
        </w:rPr>
      </w:pPr>
      <w:r w:rsidRPr="00004F3D">
        <w:rPr>
          <w:color w:val="auto"/>
          <w:sz w:val="19"/>
          <w:szCs w:val="19"/>
        </w:rPr>
        <w:t xml:space="preserve">Einkommenssteuerbescheid (alle </w:t>
      </w:r>
      <w:r w:rsidR="00A0016B">
        <w:rPr>
          <w:color w:val="auto"/>
          <w:sz w:val="19"/>
          <w:szCs w:val="19"/>
        </w:rPr>
        <w:t>Seiten</w:t>
      </w:r>
      <w:r w:rsidRPr="00004F3D">
        <w:rPr>
          <w:color w:val="auto"/>
          <w:sz w:val="19"/>
          <w:szCs w:val="19"/>
        </w:rPr>
        <w:t xml:space="preserve">) über die Arbeitnehmerveranlagung oder Jahreslohnzettel für das vorangegangene Kalenderjahr </w:t>
      </w:r>
    </w:p>
    <w:p w14:paraId="3836ADB8" w14:textId="77777777" w:rsidR="007953D4" w:rsidRPr="00004F3D" w:rsidRDefault="007953D4" w:rsidP="007953D4">
      <w:pPr>
        <w:pStyle w:val="Default"/>
        <w:ind w:left="142" w:firstLine="284"/>
        <w:jc w:val="both"/>
        <w:rPr>
          <w:color w:val="auto"/>
          <w:sz w:val="19"/>
          <w:szCs w:val="19"/>
        </w:rPr>
      </w:pPr>
      <w:r w:rsidRPr="00004F3D">
        <w:rPr>
          <w:color w:val="auto"/>
          <w:sz w:val="19"/>
          <w:szCs w:val="19"/>
        </w:rPr>
        <w:t>(inklusive Erklärung über allfällige Einkommen im Ausland)</w:t>
      </w:r>
    </w:p>
    <w:p w14:paraId="24B335A6" w14:textId="77777777" w:rsidR="00FC4A4C" w:rsidRPr="00004F3D" w:rsidRDefault="00FC4A4C" w:rsidP="00FC4A4C">
      <w:pPr>
        <w:pStyle w:val="Default"/>
        <w:spacing w:before="120" w:after="120"/>
        <w:jc w:val="both"/>
        <w:rPr>
          <w:b/>
          <w:color w:val="auto"/>
          <w:sz w:val="19"/>
          <w:szCs w:val="19"/>
        </w:rPr>
      </w:pPr>
      <w:r w:rsidRPr="00004F3D">
        <w:rPr>
          <w:b/>
          <w:color w:val="auto"/>
          <w:sz w:val="19"/>
          <w:szCs w:val="19"/>
        </w:rPr>
        <w:t>Selbständig Erwerbstätige:</w:t>
      </w:r>
    </w:p>
    <w:p w14:paraId="0A1DF7ED" w14:textId="77777777" w:rsidR="00FC4A4C" w:rsidRPr="00004F3D" w:rsidRDefault="00FC4A4C" w:rsidP="00C34927">
      <w:pPr>
        <w:pStyle w:val="Default"/>
        <w:numPr>
          <w:ilvl w:val="0"/>
          <w:numId w:val="5"/>
        </w:numPr>
        <w:ind w:left="426" w:hanging="284"/>
        <w:jc w:val="both"/>
        <w:rPr>
          <w:color w:val="auto"/>
          <w:sz w:val="19"/>
          <w:szCs w:val="19"/>
        </w:rPr>
      </w:pPr>
      <w:r w:rsidRPr="00004F3D">
        <w:rPr>
          <w:color w:val="auto"/>
          <w:sz w:val="19"/>
          <w:szCs w:val="19"/>
        </w:rPr>
        <w:t>Einkommenssteuerbescheid für das letzte veranlagte Kalenderjahr</w:t>
      </w:r>
    </w:p>
    <w:p w14:paraId="3ABCF1AD" w14:textId="77777777" w:rsidR="00FC4A4C" w:rsidRPr="00004F3D" w:rsidRDefault="00FC4A4C" w:rsidP="007953D4">
      <w:pPr>
        <w:pStyle w:val="Default"/>
        <w:numPr>
          <w:ilvl w:val="0"/>
          <w:numId w:val="5"/>
        </w:numPr>
        <w:ind w:left="426" w:hanging="284"/>
        <w:jc w:val="both"/>
        <w:rPr>
          <w:color w:val="auto"/>
          <w:sz w:val="19"/>
          <w:szCs w:val="19"/>
        </w:rPr>
      </w:pPr>
      <w:r w:rsidRPr="00004F3D">
        <w:rPr>
          <w:color w:val="auto"/>
          <w:sz w:val="19"/>
          <w:szCs w:val="19"/>
        </w:rPr>
        <w:t>letzter gültiger Einheitswertbescheid (bei nicht buchführungspflichtigen Land- u. Forstwirten)</w:t>
      </w:r>
    </w:p>
    <w:p w14:paraId="7D90449F" w14:textId="77777777" w:rsidR="00FC4A4C" w:rsidRPr="00004F3D" w:rsidRDefault="00FC4A4C" w:rsidP="00FC4A4C">
      <w:pPr>
        <w:pStyle w:val="Default"/>
        <w:spacing w:before="120" w:after="120"/>
        <w:jc w:val="both"/>
        <w:rPr>
          <w:b/>
          <w:color w:val="auto"/>
          <w:sz w:val="19"/>
          <w:szCs w:val="19"/>
        </w:rPr>
      </w:pPr>
      <w:r w:rsidRPr="00004F3D">
        <w:rPr>
          <w:b/>
          <w:color w:val="auto"/>
          <w:sz w:val="19"/>
          <w:szCs w:val="19"/>
        </w:rPr>
        <w:t>Nachweis sonstiger Bezüge, die als Einkommen gelten, insbesondere:</w:t>
      </w:r>
    </w:p>
    <w:p w14:paraId="22A5929B" w14:textId="77777777" w:rsidR="00FC4A4C" w:rsidRPr="00004F3D" w:rsidRDefault="00FC4A4C" w:rsidP="00FC4A4C">
      <w:pPr>
        <w:pStyle w:val="Default"/>
        <w:jc w:val="both"/>
        <w:rPr>
          <w:color w:val="auto"/>
          <w:sz w:val="19"/>
          <w:szCs w:val="19"/>
        </w:rPr>
      </w:pPr>
      <w:r w:rsidRPr="00004F3D">
        <w:rPr>
          <w:color w:val="auto"/>
          <w:sz w:val="19"/>
          <w:szCs w:val="19"/>
        </w:rPr>
        <w:t>Pensions-, Renten-, Versorgungs- und Ruhegenussbezüge, Arbeitslosengeld, Notstandshilfe, Krankengeld,</w:t>
      </w:r>
      <w:r w:rsidR="00AB2718" w:rsidRPr="00004F3D">
        <w:rPr>
          <w:color w:val="auto"/>
          <w:sz w:val="19"/>
          <w:szCs w:val="19"/>
        </w:rPr>
        <w:t xml:space="preserve"> </w:t>
      </w:r>
      <w:r w:rsidRPr="00004F3D">
        <w:rPr>
          <w:color w:val="auto"/>
          <w:sz w:val="19"/>
          <w:szCs w:val="19"/>
        </w:rPr>
        <w:t>Wochengeld, Kinderbetreuungsgeld, Teilzeitbeihilfen, Pflegegeld für Pflegekinder, gerichtlich oder</w:t>
      </w:r>
      <w:r w:rsidR="00AB2718" w:rsidRPr="00004F3D">
        <w:rPr>
          <w:color w:val="auto"/>
          <w:sz w:val="19"/>
          <w:szCs w:val="19"/>
        </w:rPr>
        <w:t xml:space="preserve"> </w:t>
      </w:r>
      <w:r w:rsidRPr="00004F3D">
        <w:rPr>
          <w:color w:val="auto"/>
          <w:sz w:val="19"/>
          <w:szCs w:val="19"/>
        </w:rPr>
        <w:t>vertraglich festgesetzte, in Geld bezogene Unterhaltsleistungen/Alimente aller Kinder, Witwen- und</w:t>
      </w:r>
      <w:r w:rsidR="00AB2718" w:rsidRPr="00004F3D">
        <w:rPr>
          <w:color w:val="auto"/>
          <w:sz w:val="19"/>
          <w:szCs w:val="19"/>
        </w:rPr>
        <w:t xml:space="preserve"> </w:t>
      </w:r>
      <w:r w:rsidRPr="00004F3D">
        <w:rPr>
          <w:color w:val="auto"/>
          <w:sz w:val="19"/>
          <w:szCs w:val="19"/>
        </w:rPr>
        <w:t>Witwerpension, Einkünfte aus Vermietung und Verpachtung (insbesondere Immobilienvermietung)</w:t>
      </w:r>
    </w:p>
    <w:p w14:paraId="44F60E1D" w14:textId="77777777" w:rsidR="00FC4A4C" w:rsidRPr="00004F3D" w:rsidRDefault="00FC4A4C" w:rsidP="00FC4A4C">
      <w:pPr>
        <w:pStyle w:val="Default"/>
        <w:spacing w:before="120" w:after="120"/>
        <w:jc w:val="both"/>
        <w:rPr>
          <w:b/>
          <w:color w:val="auto"/>
          <w:sz w:val="19"/>
          <w:szCs w:val="19"/>
        </w:rPr>
      </w:pPr>
      <w:r w:rsidRPr="00004F3D">
        <w:rPr>
          <w:b/>
          <w:color w:val="auto"/>
          <w:sz w:val="19"/>
          <w:szCs w:val="19"/>
        </w:rPr>
        <w:t>Weitere Nachweise:</w:t>
      </w:r>
    </w:p>
    <w:p w14:paraId="2E884527" w14:textId="77777777" w:rsidR="00FC4A4C" w:rsidRPr="00004F3D" w:rsidRDefault="00FC4A4C" w:rsidP="00C34927">
      <w:pPr>
        <w:pStyle w:val="Default"/>
        <w:numPr>
          <w:ilvl w:val="0"/>
          <w:numId w:val="5"/>
        </w:numPr>
        <w:ind w:left="426" w:hanging="284"/>
        <w:jc w:val="both"/>
        <w:rPr>
          <w:color w:val="auto"/>
          <w:sz w:val="19"/>
          <w:szCs w:val="19"/>
        </w:rPr>
      </w:pPr>
      <w:r w:rsidRPr="00004F3D">
        <w:rPr>
          <w:color w:val="auto"/>
          <w:sz w:val="19"/>
          <w:szCs w:val="19"/>
        </w:rPr>
        <w:t>Rechnung und Zahlungsnachweis der entrichteten Mittagessenbeiträge</w:t>
      </w:r>
    </w:p>
    <w:p w14:paraId="3CD1C21C" w14:textId="77777777" w:rsidR="00FC4A4C" w:rsidRPr="00004F3D" w:rsidRDefault="00FC4A4C" w:rsidP="00C34927">
      <w:pPr>
        <w:pStyle w:val="Default"/>
        <w:numPr>
          <w:ilvl w:val="0"/>
          <w:numId w:val="5"/>
        </w:numPr>
        <w:ind w:left="426" w:hanging="284"/>
        <w:jc w:val="both"/>
        <w:rPr>
          <w:color w:val="auto"/>
          <w:sz w:val="19"/>
          <w:szCs w:val="19"/>
        </w:rPr>
      </w:pPr>
      <w:r w:rsidRPr="00004F3D">
        <w:rPr>
          <w:color w:val="auto"/>
          <w:sz w:val="19"/>
          <w:szCs w:val="19"/>
        </w:rPr>
        <w:t>Finanzamtsmitteilung über Bezug der Familienbeihilfe</w:t>
      </w:r>
    </w:p>
    <w:p w14:paraId="6EC038E6" w14:textId="67A6F71C" w:rsidR="00C34927" w:rsidRPr="00904EB0" w:rsidRDefault="00C34927" w:rsidP="00C34927">
      <w:pPr>
        <w:numPr>
          <w:ilvl w:val="0"/>
          <w:numId w:val="5"/>
        </w:numPr>
        <w:spacing w:line="240" w:lineRule="auto"/>
        <w:ind w:left="426" w:hanging="284"/>
        <w:jc w:val="both"/>
        <w:rPr>
          <w:color w:val="000000"/>
          <w:sz w:val="20"/>
        </w:rPr>
      </w:pPr>
      <w:r w:rsidRPr="00004F3D">
        <w:rPr>
          <w:sz w:val="20"/>
        </w:rPr>
        <w:t xml:space="preserve">Versicherungsdatenauszug mitversicherter, im Haushalt lebender Familienangehöriger </w:t>
      </w:r>
    </w:p>
    <w:p w14:paraId="0B62EDE7" w14:textId="74833F0F" w:rsidR="00904EB0" w:rsidRPr="00004F3D" w:rsidRDefault="00904EB0" w:rsidP="00C34927">
      <w:pPr>
        <w:numPr>
          <w:ilvl w:val="0"/>
          <w:numId w:val="5"/>
        </w:numPr>
        <w:spacing w:line="240" w:lineRule="auto"/>
        <w:ind w:left="426" w:hanging="284"/>
        <w:jc w:val="both"/>
        <w:rPr>
          <w:color w:val="000000"/>
          <w:sz w:val="20"/>
        </w:rPr>
      </w:pPr>
      <w:r>
        <w:rPr>
          <w:color w:val="000000"/>
          <w:sz w:val="20"/>
        </w:rPr>
        <w:t>Meldezettel des Kindes</w:t>
      </w:r>
    </w:p>
    <w:p w14:paraId="5F53D2FA" w14:textId="77777777" w:rsidR="004C0A9E" w:rsidRPr="00004F3D" w:rsidRDefault="004C0A9E" w:rsidP="004C0A9E">
      <w:pPr>
        <w:spacing w:before="225" w:after="225" w:line="240" w:lineRule="auto"/>
        <w:jc w:val="both"/>
        <w:rPr>
          <w:rFonts w:cs="Arial"/>
          <w:b/>
          <w:color w:val="333333"/>
          <w:sz w:val="20"/>
          <w:lang w:eastAsia="de-AT"/>
        </w:rPr>
      </w:pPr>
      <w:r w:rsidRPr="00004F3D">
        <w:rPr>
          <w:rFonts w:cs="Arial"/>
          <w:b/>
          <w:color w:val="333333"/>
          <w:sz w:val="20"/>
          <w:lang w:eastAsia="de-AT"/>
        </w:rPr>
        <w:t>Datenschutzmitteilung „Mittagessensförderung“</w:t>
      </w:r>
    </w:p>
    <w:p w14:paraId="2DD1B1BD" w14:textId="311D352B"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Ich nehme zur Kenntnis, dass die oben von mir bekannt gegebenen personenbezogenen Daten im Rahmen der Antragstellung gemäß der Richtlinie zur Förderung von Mittagessensbeiträgen von der</w:t>
      </w:r>
      <w:r w:rsidR="00DA1CCB" w:rsidRPr="00004F3D">
        <w:rPr>
          <w:rFonts w:cs="Arial"/>
          <w:color w:val="000000"/>
          <w:sz w:val="20"/>
          <w:lang w:val="de-AT" w:eastAsia="de-AT"/>
        </w:rPr>
        <w:t>der Abteilung 9 – EU</w:t>
      </w:r>
      <w:r w:rsidR="00DA1CCB" w:rsidRPr="00004F3D">
        <w:rPr>
          <w:rFonts w:cs="Arial"/>
          <w:color w:val="333333"/>
          <w:sz w:val="20"/>
          <w:szCs w:val="24"/>
          <w:lang w:eastAsia="de-AT"/>
        </w:rPr>
        <w:t>, Gesellschaft und Förderwesen, Referat Sozial- und Klimafonds</w:t>
      </w:r>
      <w:r w:rsidRPr="00004F3D">
        <w:rPr>
          <w:rFonts w:cs="Arial"/>
          <w:color w:val="333333"/>
          <w:sz w:val="20"/>
          <w:szCs w:val="24"/>
          <w:lang w:eastAsia="de-AT"/>
        </w:rPr>
        <w:t xml:space="preserve">, Europaplatz 1, 7000 Eisenstadt, E-Mail: </w:t>
      </w:r>
      <w:r w:rsidR="00DA1CCB" w:rsidRPr="00004F3D">
        <w:rPr>
          <w:rFonts w:cs="Arial"/>
          <w:color w:val="333333"/>
          <w:sz w:val="20"/>
          <w:szCs w:val="24"/>
          <w:lang w:eastAsia="de-AT"/>
        </w:rPr>
        <w:t>post.a9-skf@bgld.gv.at</w:t>
      </w:r>
      <w:r w:rsidRPr="00004F3D">
        <w:rPr>
          <w:rFonts w:cs="Arial"/>
          <w:color w:val="333333"/>
          <w:sz w:val="20"/>
          <w:szCs w:val="24"/>
          <w:lang w:eastAsia="de-AT"/>
        </w:rPr>
        <w:t xml:space="preserve">,  gem. Art 6 Abs. 1 </w:t>
      </w:r>
      <w:proofErr w:type="spellStart"/>
      <w:r w:rsidRPr="00004F3D">
        <w:rPr>
          <w:rFonts w:cs="Arial"/>
          <w:color w:val="333333"/>
          <w:sz w:val="20"/>
          <w:szCs w:val="24"/>
          <w:lang w:eastAsia="de-AT"/>
        </w:rPr>
        <w:t>lit</w:t>
      </w:r>
      <w:proofErr w:type="spellEnd"/>
      <w:r w:rsidRPr="00004F3D">
        <w:rPr>
          <w:rFonts w:cs="Arial"/>
          <w:color w:val="333333"/>
          <w:sz w:val="20"/>
          <w:szCs w:val="24"/>
          <w:lang w:eastAsia="de-AT"/>
        </w:rPr>
        <w:t xml:space="preserve"> c, f DSGVO verarbeitet werden. </w:t>
      </w:r>
    </w:p>
    <w:p w14:paraId="609C6F3B" w14:textId="77777777"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 xml:space="preserve">Der Zweck der Verarbeitung ist die Bearbeitung und Abwicklung des Ansuchens auf Teilrückerstattung der Mittagessensbeiträge. </w:t>
      </w:r>
    </w:p>
    <w:p w14:paraId="6C6426E3" w14:textId="77777777"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Im Zuge der Antragsbearbeitung werden die im Antrag angegebenen Daten zum Hauptwohnsitz im Zentralen Melderegister (ZMR) durch das Amt der Burgenländischen Landesregierung überprüft.</w:t>
      </w:r>
    </w:p>
    <w:p w14:paraId="5934C75A" w14:textId="77777777"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Eine Weitergabe der Daten an Dritte (insbesondere Unternehmen, die Daten zu kommerziellen Zwecken verarbeiten) findet nicht statt.</w:t>
      </w:r>
    </w:p>
    <w:p w14:paraId="58D0AF52" w14:textId="77777777"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Rechte im Zusammenhang mit personenbezogenen Daten: 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58E2BEA5" w14:textId="77777777"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Speicherdauer: Die Daten werden nur solange gesetzliche Aufbewahrungspflichten bestehen oder Verjährungsansprüche potentieller Rechtsansprüche noch nicht abgelaufen sind gespeichert.</w:t>
      </w:r>
    </w:p>
    <w:p w14:paraId="0DB8A253" w14:textId="77777777" w:rsidR="004C0A9E" w:rsidRPr="00004F3D"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Kontaktdaten des datenschutzrechtlichen Verantwortlichen: Sollten Sie zu der Verarbeitung Ihrer personenbezogenen Daten Fragen oder Anliegen haben, wenden Sie sich bitte an uns:</w:t>
      </w:r>
    </w:p>
    <w:p w14:paraId="7F381095" w14:textId="77777777" w:rsidR="004C0A9E" w:rsidRPr="00004F3D" w:rsidRDefault="004C0A9E" w:rsidP="007C2DD3">
      <w:pPr>
        <w:spacing w:line="240" w:lineRule="auto"/>
        <w:jc w:val="both"/>
        <w:rPr>
          <w:rFonts w:cs="Arial"/>
          <w:color w:val="333333"/>
          <w:sz w:val="20"/>
          <w:lang w:eastAsia="de-AT"/>
        </w:rPr>
      </w:pPr>
      <w:r w:rsidRPr="00004F3D">
        <w:rPr>
          <w:rFonts w:cs="Arial"/>
          <w:color w:val="333333"/>
          <w:sz w:val="20"/>
          <w:szCs w:val="24"/>
          <w:lang w:eastAsia="de-AT"/>
        </w:rPr>
        <w:t xml:space="preserve">Amt der Burgenländischen Landesregierung, Europaplatz 1, 7000 Eisenstadt; E-Mail: </w:t>
      </w:r>
      <w:hyperlink r:id="rId7" w:history="1">
        <w:r w:rsidRPr="00004F3D">
          <w:rPr>
            <w:color w:val="333333"/>
            <w:sz w:val="20"/>
          </w:rPr>
          <w:t>post.datenschutz@bgld.gv.at</w:t>
        </w:r>
      </w:hyperlink>
      <w:r w:rsidRPr="00004F3D">
        <w:rPr>
          <w:rFonts w:cs="Arial"/>
          <w:color w:val="333333"/>
          <w:sz w:val="20"/>
          <w:lang w:eastAsia="de-AT"/>
        </w:rPr>
        <w:t xml:space="preserve">; Internet: </w:t>
      </w:r>
      <w:hyperlink r:id="rId8" w:history="1">
        <w:r w:rsidRPr="00004F3D">
          <w:rPr>
            <w:rFonts w:cs="Arial"/>
            <w:color w:val="333333"/>
            <w:sz w:val="20"/>
            <w:lang w:eastAsia="de-AT"/>
          </w:rPr>
          <w:t>www.burgenland.at/datenschutz</w:t>
        </w:r>
      </w:hyperlink>
      <w:r w:rsidRPr="00004F3D">
        <w:rPr>
          <w:rFonts w:cs="Arial"/>
          <w:color w:val="333333"/>
          <w:sz w:val="20"/>
          <w:lang w:eastAsia="de-AT"/>
        </w:rPr>
        <w:t>.</w:t>
      </w:r>
    </w:p>
    <w:p w14:paraId="24E11A71" w14:textId="77777777" w:rsidR="004C0A9E" w:rsidRPr="004C0A9E" w:rsidRDefault="004C0A9E" w:rsidP="007C2DD3">
      <w:pPr>
        <w:spacing w:line="240" w:lineRule="auto"/>
        <w:jc w:val="both"/>
        <w:rPr>
          <w:rFonts w:cs="Arial"/>
          <w:color w:val="333333"/>
          <w:sz w:val="20"/>
          <w:szCs w:val="24"/>
          <w:lang w:eastAsia="de-AT"/>
        </w:rPr>
      </w:pPr>
      <w:r w:rsidRPr="00004F3D">
        <w:rPr>
          <w:rFonts w:cs="Arial"/>
          <w:color w:val="333333"/>
          <w:sz w:val="20"/>
          <w:szCs w:val="24"/>
          <w:lang w:eastAsia="de-AT"/>
        </w:rPr>
        <w:t>Alternativ können Sie sich an unseren Datenschutzbeauftragten, die KPMG Security Services GmbH, Porzellangasse 51, 1090 Wien, E-Mail: post.datenschutzbeauftragter@bgld.gv.at, wenden.</w:t>
      </w:r>
    </w:p>
    <w:p w14:paraId="6AC033B2" w14:textId="77777777" w:rsidR="004C0A9E" w:rsidRPr="004C0A9E" w:rsidRDefault="004C0A9E" w:rsidP="004C0A9E">
      <w:pPr>
        <w:spacing w:before="225" w:after="225" w:line="240" w:lineRule="auto"/>
        <w:jc w:val="both"/>
        <w:rPr>
          <w:rFonts w:cs="Arial"/>
          <w:color w:val="333333"/>
          <w:sz w:val="20"/>
          <w:szCs w:val="24"/>
          <w:lang w:eastAsia="de-AT"/>
        </w:rPr>
      </w:pPr>
    </w:p>
    <w:sectPr w:rsidR="004C0A9E" w:rsidRPr="004C0A9E" w:rsidSect="004C0A9E">
      <w:footerReference w:type="default" r:id="rId9"/>
      <w:pgSz w:w="11906" w:h="16838" w:code="9"/>
      <w:pgMar w:top="709" w:right="1276" w:bottom="992"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9DD9" w14:textId="77777777" w:rsidR="000C3089" w:rsidRDefault="000C3089" w:rsidP="003B77FC">
      <w:pPr>
        <w:spacing w:line="240" w:lineRule="auto"/>
      </w:pPr>
      <w:r>
        <w:separator/>
      </w:r>
    </w:p>
  </w:endnote>
  <w:endnote w:type="continuationSeparator" w:id="0">
    <w:p w14:paraId="4D80FCF3" w14:textId="77777777" w:rsidR="000C3089" w:rsidRDefault="000C3089" w:rsidP="003B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C85D" w14:textId="77777777" w:rsidR="004C0A9E" w:rsidRPr="00DE7F73" w:rsidRDefault="004C0A9E" w:rsidP="004C0A9E">
    <w:pPr>
      <w:pStyle w:val="Fuzeile"/>
    </w:pPr>
    <w:r>
      <w:rPr>
        <w:sz w:val="16"/>
      </w:rPr>
      <w:tab/>
    </w:r>
    <w:r>
      <w:rPr>
        <w:rStyle w:val="Seitenzah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A142" w14:textId="77777777" w:rsidR="000C3089" w:rsidRDefault="000C3089" w:rsidP="003B77FC">
      <w:pPr>
        <w:spacing w:line="240" w:lineRule="auto"/>
      </w:pPr>
      <w:r>
        <w:separator/>
      </w:r>
    </w:p>
  </w:footnote>
  <w:footnote w:type="continuationSeparator" w:id="0">
    <w:p w14:paraId="0921BE74" w14:textId="77777777" w:rsidR="000C3089" w:rsidRDefault="000C3089" w:rsidP="003B77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4AE"/>
    <w:multiLevelType w:val="hybridMultilevel"/>
    <w:tmpl w:val="04BC0E80"/>
    <w:lvl w:ilvl="0" w:tplc="D65E87F2">
      <w:numFmt w:val="bullet"/>
      <w:lvlText w:val="·"/>
      <w:lvlJc w:val="left"/>
      <w:pPr>
        <w:ind w:left="496" w:hanging="360"/>
      </w:pPr>
      <w:rPr>
        <w:rFonts w:ascii="Arial" w:eastAsia="Times New Roman" w:hAnsi="Arial" w:cs="Aria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1" w15:restartNumberingAfterBreak="0">
    <w:nsid w:val="0B090308"/>
    <w:multiLevelType w:val="hybridMultilevel"/>
    <w:tmpl w:val="DE805C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9B4124"/>
    <w:multiLevelType w:val="hybridMultilevel"/>
    <w:tmpl w:val="C6D8D676"/>
    <w:lvl w:ilvl="0" w:tplc="D65E87F2">
      <w:numFmt w:val="bullet"/>
      <w:lvlText w:val="·"/>
      <w:lvlJc w:val="left"/>
      <w:pPr>
        <w:ind w:left="428" w:hanging="360"/>
      </w:pPr>
      <w:rPr>
        <w:rFonts w:ascii="Arial" w:eastAsia="Times New Roman" w:hAnsi="Arial" w:cs="Arial" w:hint="default"/>
      </w:rPr>
    </w:lvl>
    <w:lvl w:ilvl="1" w:tplc="0C070003" w:tentative="1">
      <w:start w:val="1"/>
      <w:numFmt w:val="bullet"/>
      <w:lvlText w:val="o"/>
      <w:lvlJc w:val="left"/>
      <w:pPr>
        <w:ind w:left="1148" w:hanging="360"/>
      </w:pPr>
      <w:rPr>
        <w:rFonts w:ascii="Courier New" w:hAnsi="Courier New" w:cs="Courier New" w:hint="default"/>
      </w:rPr>
    </w:lvl>
    <w:lvl w:ilvl="2" w:tplc="0C070005" w:tentative="1">
      <w:start w:val="1"/>
      <w:numFmt w:val="bullet"/>
      <w:lvlText w:val=""/>
      <w:lvlJc w:val="left"/>
      <w:pPr>
        <w:ind w:left="1868" w:hanging="360"/>
      </w:pPr>
      <w:rPr>
        <w:rFonts w:ascii="Wingdings" w:hAnsi="Wingdings" w:hint="default"/>
      </w:rPr>
    </w:lvl>
    <w:lvl w:ilvl="3" w:tplc="0C070001" w:tentative="1">
      <w:start w:val="1"/>
      <w:numFmt w:val="bullet"/>
      <w:lvlText w:val=""/>
      <w:lvlJc w:val="left"/>
      <w:pPr>
        <w:ind w:left="2588" w:hanging="360"/>
      </w:pPr>
      <w:rPr>
        <w:rFonts w:ascii="Symbol" w:hAnsi="Symbol" w:hint="default"/>
      </w:rPr>
    </w:lvl>
    <w:lvl w:ilvl="4" w:tplc="0C070003" w:tentative="1">
      <w:start w:val="1"/>
      <w:numFmt w:val="bullet"/>
      <w:lvlText w:val="o"/>
      <w:lvlJc w:val="left"/>
      <w:pPr>
        <w:ind w:left="3308" w:hanging="360"/>
      </w:pPr>
      <w:rPr>
        <w:rFonts w:ascii="Courier New" w:hAnsi="Courier New" w:cs="Courier New" w:hint="default"/>
      </w:rPr>
    </w:lvl>
    <w:lvl w:ilvl="5" w:tplc="0C070005" w:tentative="1">
      <w:start w:val="1"/>
      <w:numFmt w:val="bullet"/>
      <w:lvlText w:val=""/>
      <w:lvlJc w:val="left"/>
      <w:pPr>
        <w:ind w:left="4028" w:hanging="360"/>
      </w:pPr>
      <w:rPr>
        <w:rFonts w:ascii="Wingdings" w:hAnsi="Wingdings" w:hint="default"/>
      </w:rPr>
    </w:lvl>
    <w:lvl w:ilvl="6" w:tplc="0C070001" w:tentative="1">
      <w:start w:val="1"/>
      <w:numFmt w:val="bullet"/>
      <w:lvlText w:val=""/>
      <w:lvlJc w:val="left"/>
      <w:pPr>
        <w:ind w:left="4748" w:hanging="360"/>
      </w:pPr>
      <w:rPr>
        <w:rFonts w:ascii="Symbol" w:hAnsi="Symbol" w:hint="default"/>
      </w:rPr>
    </w:lvl>
    <w:lvl w:ilvl="7" w:tplc="0C070003" w:tentative="1">
      <w:start w:val="1"/>
      <w:numFmt w:val="bullet"/>
      <w:lvlText w:val="o"/>
      <w:lvlJc w:val="left"/>
      <w:pPr>
        <w:ind w:left="5468" w:hanging="360"/>
      </w:pPr>
      <w:rPr>
        <w:rFonts w:ascii="Courier New" w:hAnsi="Courier New" w:cs="Courier New" w:hint="default"/>
      </w:rPr>
    </w:lvl>
    <w:lvl w:ilvl="8" w:tplc="0C070005" w:tentative="1">
      <w:start w:val="1"/>
      <w:numFmt w:val="bullet"/>
      <w:lvlText w:val=""/>
      <w:lvlJc w:val="left"/>
      <w:pPr>
        <w:ind w:left="6188" w:hanging="360"/>
      </w:pPr>
      <w:rPr>
        <w:rFonts w:ascii="Wingdings" w:hAnsi="Wingdings" w:hint="default"/>
      </w:rPr>
    </w:lvl>
  </w:abstractNum>
  <w:abstractNum w:abstractNumId="3"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4" w15:restartNumberingAfterBreak="0">
    <w:nsid w:val="3B211A03"/>
    <w:multiLevelType w:val="multilevel"/>
    <w:tmpl w:val="3786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C008E"/>
    <w:multiLevelType w:val="hybridMultilevel"/>
    <w:tmpl w:val="E9C03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B646224"/>
    <w:multiLevelType w:val="hybridMultilevel"/>
    <w:tmpl w:val="ADB8F5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D91271"/>
    <w:multiLevelType w:val="hybridMultilevel"/>
    <w:tmpl w:val="6436037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8" w15:restartNumberingAfterBreak="0">
    <w:nsid w:val="662F70DE"/>
    <w:multiLevelType w:val="hybridMultilevel"/>
    <w:tmpl w:val="02F6D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1"/>
  </w:num>
  <w:num w:numId="7">
    <w:abstractNumId w:val="7"/>
  </w:num>
  <w:num w:numId="8">
    <w:abstractNumId w:val="2"/>
  </w:num>
  <w:num w:numId="9">
    <w:abstractNumId w:val="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FC"/>
    <w:rsid w:val="00004F3D"/>
    <w:rsid w:val="00015E79"/>
    <w:rsid w:val="00037993"/>
    <w:rsid w:val="0006358B"/>
    <w:rsid w:val="000B12D9"/>
    <w:rsid w:val="000C3089"/>
    <w:rsid w:val="00121D42"/>
    <w:rsid w:val="00147BF4"/>
    <w:rsid w:val="001A1158"/>
    <w:rsid w:val="001C33E9"/>
    <w:rsid w:val="001E3FCD"/>
    <w:rsid w:val="0027017A"/>
    <w:rsid w:val="00282FAD"/>
    <w:rsid w:val="002941E4"/>
    <w:rsid w:val="002A6250"/>
    <w:rsid w:val="002E1650"/>
    <w:rsid w:val="003409B0"/>
    <w:rsid w:val="00347926"/>
    <w:rsid w:val="00361E03"/>
    <w:rsid w:val="003A6093"/>
    <w:rsid w:val="003B77FC"/>
    <w:rsid w:val="004078F3"/>
    <w:rsid w:val="00430D1F"/>
    <w:rsid w:val="004328D0"/>
    <w:rsid w:val="0045465B"/>
    <w:rsid w:val="00485D9F"/>
    <w:rsid w:val="004C0A9E"/>
    <w:rsid w:val="004D08F8"/>
    <w:rsid w:val="004D7B9C"/>
    <w:rsid w:val="005A3A3C"/>
    <w:rsid w:val="00684A35"/>
    <w:rsid w:val="0068545D"/>
    <w:rsid w:val="006A3B39"/>
    <w:rsid w:val="00726F98"/>
    <w:rsid w:val="0076107E"/>
    <w:rsid w:val="007953D4"/>
    <w:rsid w:val="007C2DD3"/>
    <w:rsid w:val="007F2F64"/>
    <w:rsid w:val="00837273"/>
    <w:rsid w:val="00904EB0"/>
    <w:rsid w:val="0093055C"/>
    <w:rsid w:val="0098432A"/>
    <w:rsid w:val="00A0016B"/>
    <w:rsid w:val="00A43AD4"/>
    <w:rsid w:val="00AA473D"/>
    <w:rsid w:val="00AB2718"/>
    <w:rsid w:val="00B61A4B"/>
    <w:rsid w:val="00B9385E"/>
    <w:rsid w:val="00BE1086"/>
    <w:rsid w:val="00C34927"/>
    <w:rsid w:val="00C97968"/>
    <w:rsid w:val="00CD5E8B"/>
    <w:rsid w:val="00CE0ADA"/>
    <w:rsid w:val="00CF3BCA"/>
    <w:rsid w:val="00D60AD6"/>
    <w:rsid w:val="00D64357"/>
    <w:rsid w:val="00DA1CCB"/>
    <w:rsid w:val="00DC1288"/>
    <w:rsid w:val="00DF6F57"/>
    <w:rsid w:val="00E305D0"/>
    <w:rsid w:val="00E54AEB"/>
    <w:rsid w:val="00E64C5A"/>
    <w:rsid w:val="00EF6C6A"/>
    <w:rsid w:val="00F133AD"/>
    <w:rsid w:val="00F616D8"/>
    <w:rsid w:val="00FC4A4C"/>
    <w:rsid w:val="00FE3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9E77"/>
  <w15:chartTrackingRefBased/>
  <w15:docId w15:val="{12823809-0724-4B2E-8794-7EA8057C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6A3B39"/>
    <w:pPr>
      <w:spacing w:line="360" w:lineRule="auto"/>
    </w:pPr>
    <w:rPr>
      <w:rFonts w:ascii="Arial" w:hAnsi="Arial"/>
      <w:sz w:val="24"/>
      <w:lang w:val="de-DE" w:eastAsia="de-DE"/>
    </w:rPr>
  </w:style>
  <w:style w:type="paragraph" w:styleId="berschrift1">
    <w:name w:val="heading 1"/>
    <w:basedOn w:val="Standard"/>
    <w:next w:val="Standard"/>
    <w:link w:val="berschrift1Zchn"/>
    <w:qFormat/>
    <w:rsid w:val="003A6093"/>
    <w:pPr>
      <w:keepNext/>
      <w:spacing w:before="240" w:after="60"/>
      <w:outlineLvl w:val="0"/>
    </w:pPr>
    <w:rPr>
      <w:rFonts w:eastAsiaTheme="majorEastAsia" w:cstheme="majorBidi"/>
      <w:b/>
      <w:i/>
      <w:color w:val="000000"/>
      <w:spacing w:val="20"/>
      <w:kern w:val="28"/>
      <w:sz w:val="28"/>
      <w:u w:val="double"/>
    </w:rPr>
  </w:style>
  <w:style w:type="paragraph" w:styleId="berschrift2">
    <w:name w:val="heading 2"/>
    <w:basedOn w:val="Standard"/>
    <w:next w:val="Standard"/>
    <w:link w:val="berschrift2Zchn"/>
    <w:qFormat/>
    <w:rsid w:val="003A6093"/>
    <w:pPr>
      <w:keepNext/>
      <w:spacing w:before="240" w:after="60"/>
      <w:outlineLvl w:val="1"/>
    </w:pPr>
    <w:rPr>
      <w:rFonts w:eastAsiaTheme="majorEastAsia" w:cstheme="majorBidi"/>
      <w:b/>
      <w:i/>
      <w:color w:val="000000"/>
      <w:u w:val="double"/>
    </w:rPr>
  </w:style>
  <w:style w:type="paragraph" w:styleId="berschrift3">
    <w:name w:val="heading 3"/>
    <w:basedOn w:val="Standard"/>
    <w:next w:val="Standard"/>
    <w:link w:val="berschrift3Zchn"/>
    <w:qFormat/>
    <w:rsid w:val="003A6093"/>
    <w:pPr>
      <w:keepNext/>
      <w:spacing w:before="240" w:after="60"/>
      <w:outlineLvl w:val="2"/>
    </w:pPr>
    <w:rPr>
      <w:rFonts w:eastAsiaTheme="majorEastAsia" w:cstheme="majorBidi"/>
      <w:color w:val="000000"/>
      <w:u w:val="single"/>
    </w:rPr>
  </w:style>
  <w:style w:type="paragraph" w:styleId="berschrift4">
    <w:name w:val="heading 4"/>
    <w:basedOn w:val="Standard"/>
    <w:next w:val="Standard"/>
    <w:link w:val="berschrift4Zchn"/>
    <w:qFormat/>
    <w:rsid w:val="003A6093"/>
    <w:pPr>
      <w:keepNext/>
      <w:ind w:left="2832" w:firstLine="708"/>
      <w:outlineLvl w:val="3"/>
    </w:pPr>
    <w:rPr>
      <w:rFonts w:eastAsiaTheme="majorEastAsia" w:cstheme="majorBidi"/>
      <w:b/>
      <w:bCs/>
    </w:rPr>
  </w:style>
  <w:style w:type="paragraph" w:styleId="berschrift5">
    <w:name w:val="heading 5"/>
    <w:basedOn w:val="Standard"/>
    <w:next w:val="Standard"/>
    <w:link w:val="berschrift5Zchn"/>
    <w:qFormat/>
    <w:rsid w:val="003A6093"/>
    <w:pPr>
      <w:keepNext/>
      <w:outlineLvl w:val="4"/>
    </w:pPr>
    <w:rPr>
      <w:rFonts w:eastAsiaTheme="majorEastAsia" w:cstheme="majorBidi"/>
      <w:b/>
      <w:bCs/>
      <w:sz w:val="20"/>
    </w:rPr>
  </w:style>
  <w:style w:type="paragraph" w:styleId="berschrift6">
    <w:name w:val="heading 6"/>
    <w:basedOn w:val="Standard"/>
    <w:next w:val="Standard"/>
    <w:link w:val="berschrift6Zchn"/>
    <w:qFormat/>
    <w:rsid w:val="003A6093"/>
    <w:pPr>
      <w:keepNext/>
      <w:outlineLvl w:val="5"/>
    </w:pPr>
    <w:rPr>
      <w:b/>
    </w:rPr>
  </w:style>
  <w:style w:type="paragraph" w:styleId="berschrift7">
    <w:name w:val="heading 7"/>
    <w:basedOn w:val="Standard"/>
    <w:next w:val="Standard"/>
    <w:link w:val="berschrift7Zchn"/>
    <w:qFormat/>
    <w:rsid w:val="003A6093"/>
    <w:pPr>
      <w:keepNext/>
      <w:jc w:val="center"/>
      <w:outlineLvl w:val="6"/>
    </w:pPr>
    <w:rPr>
      <w:b/>
    </w:rPr>
  </w:style>
  <w:style w:type="paragraph" w:styleId="berschrift8">
    <w:name w:val="heading 8"/>
    <w:basedOn w:val="Standard"/>
    <w:next w:val="Standard"/>
    <w:link w:val="berschrift8Zchn"/>
    <w:uiPriority w:val="9"/>
    <w:semiHidden/>
    <w:unhideWhenUsed/>
    <w:qFormat/>
    <w:rsid w:val="004C0A9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7B9C"/>
    <w:rPr>
      <w:rFonts w:ascii="Arial" w:eastAsiaTheme="majorEastAsia" w:hAnsi="Arial" w:cstheme="majorBidi"/>
      <w:b/>
      <w:i/>
      <w:color w:val="000000"/>
      <w:spacing w:val="20"/>
      <w:kern w:val="28"/>
      <w:sz w:val="28"/>
      <w:u w:val="double"/>
      <w:lang w:eastAsia="de-DE"/>
    </w:rPr>
  </w:style>
  <w:style w:type="character" w:customStyle="1" w:styleId="berschrift2Zchn">
    <w:name w:val="Überschrift 2 Zchn"/>
    <w:basedOn w:val="Absatz-Standardschriftart"/>
    <w:link w:val="berschrift2"/>
    <w:rsid w:val="004D7B9C"/>
    <w:rPr>
      <w:rFonts w:ascii="Arial" w:eastAsiaTheme="majorEastAsia" w:hAnsi="Arial" w:cstheme="majorBidi"/>
      <w:b/>
      <w:i/>
      <w:color w:val="000000"/>
      <w:sz w:val="24"/>
      <w:u w:val="double"/>
      <w:lang w:eastAsia="de-DE"/>
    </w:rPr>
  </w:style>
  <w:style w:type="character" w:customStyle="1" w:styleId="berschrift3Zchn">
    <w:name w:val="Überschrift 3 Zchn"/>
    <w:basedOn w:val="Absatz-Standardschriftart"/>
    <w:link w:val="berschrift3"/>
    <w:rsid w:val="004D7B9C"/>
    <w:rPr>
      <w:rFonts w:ascii="Arial" w:eastAsiaTheme="majorEastAsia" w:hAnsi="Arial" w:cstheme="majorBidi"/>
      <w:color w:val="000000"/>
      <w:sz w:val="24"/>
      <w:u w:val="single"/>
      <w:lang w:eastAsia="de-DE"/>
    </w:rPr>
  </w:style>
  <w:style w:type="character" w:customStyle="1" w:styleId="berschrift4Zchn">
    <w:name w:val="Überschrift 4 Zchn"/>
    <w:basedOn w:val="Absatz-Standardschriftart"/>
    <w:link w:val="berschrift4"/>
    <w:rsid w:val="004D7B9C"/>
    <w:rPr>
      <w:rFonts w:ascii="Arial" w:eastAsiaTheme="majorEastAsia" w:hAnsi="Arial" w:cstheme="majorBidi"/>
      <w:b/>
      <w:bCs/>
      <w:sz w:val="24"/>
      <w:lang w:eastAsia="de-DE"/>
    </w:rPr>
  </w:style>
  <w:style w:type="character" w:customStyle="1" w:styleId="berschrift5Zchn">
    <w:name w:val="Überschrift 5 Zchn"/>
    <w:basedOn w:val="Absatz-Standardschriftart"/>
    <w:link w:val="berschrift5"/>
    <w:rsid w:val="004D7B9C"/>
    <w:rPr>
      <w:rFonts w:ascii="Arial" w:eastAsiaTheme="majorEastAsia" w:hAnsi="Arial" w:cstheme="majorBidi"/>
      <w:b/>
      <w:bCs/>
      <w:lang w:eastAsia="de-DE"/>
    </w:rPr>
  </w:style>
  <w:style w:type="paragraph" w:styleId="KeinLeerraum">
    <w:name w:val="No Spacing"/>
    <w:uiPriority w:val="1"/>
    <w:qFormat/>
    <w:rsid w:val="004D7B9C"/>
    <w:pPr>
      <w:keepLines/>
      <w:jc w:val="both"/>
    </w:pPr>
    <w:rPr>
      <w:rFonts w:ascii="Arial" w:hAnsi="Arial"/>
      <w:sz w:val="24"/>
      <w:lang w:eastAsia="de-DE"/>
    </w:rPr>
  </w:style>
  <w:style w:type="paragraph" w:styleId="Listenabsatz">
    <w:name w:val="List Paragraph"/>
    <w:basedOn w:val="Standard"/>
    <w:uiPriority w:val="34"/>
    <w:qFormat/>
    <w:rsid w:val="004D7B9C"/>
    <w:pPr>
      <w:ind w:left="708"/>
    </w:pPr>
  </w:style>
  <w:style w:type="character" w:customStyle="1" w:styleId="berschrift6Zchn">
    <w:name w:val="Überschrift 6 Zchn"/>
    <w:basedOn w:val="Absatz-Standardschriftart"/>
    <w:link w:val="berschrift6"/>
    <w:rsid w:val="003A6093"/>
    <w:rPr>
      <w:rFonts w:ascii="Arial" w:hAnsi="Arial"/>
      <w:b/>
      <w:sz w:val="24"/>
      <w:lang w:eastAsia="de-DE"/>
    </w:rPr>
  </w:style>
  <w:style w:type="character" w:customStyle="1" w:styleId="berschrift7Zchn">
    <w:name w:val="Überschrift 7 Zchn"/>
    <w:basedOn w:val="Absatz-Standardschriftart"/>
    <w:link w:val="berschrift7"/>
    <w:rsid w:val="003A6093"/>
    <w:rPr>
      <w:rFonts w:ascii="Arial" w:hAnsi="Arial"/>
      <w:b/>
      <w:sz w:val="24"/>
      <w:lang w:eastAsia="de-DE"/>
    </w:rPr>
  </w:style>
  <w:style w:type="paragraph" w:styleId="Fuzeile">
    <w:name w:val="footer"/>
    <w:basedOn w:val="Standard"/>
    <w:link w:val="FuzeileZchn"/>
    <w:rsid w:val="003B77FC"/>
    <w:pPr>
      <w:tabs>
        <w:tab w:val="center" w:pos="4536"/>
        <w:tab w:val="right" w:pos="9072"/>
      </w:tabs>
    </w:pPr>
  </w:style>
  <w:style w:type="character" w:customStyle="1" w:styleId="FuzeileZchn">
    <w:name w:val="Fußzeile Zchn"/>
    <w:basedOn w:val="Absatz-Standardschriftart"/>
    <w:link w:val="Fuzeile"/>
    <w:rsid w:val="003B77FC"/>
    <w:rPr>
      <w:rFonts w:ascii="Arial" w:hAnsi="Arial"/>
      <w:sz w:val="24"/>
      <w:lang w:val="de-DE" w:eastAsia="de-DE"/>
    </w:rPr>
  </w:style>
  <w:style w:type="character" w:styleId="Seitenzahl">
    <w:name w:val="page number"/>
    <w:basedOn w:val="Absatz-Standardschriftart"/>
    <w:rsid w:val="003B77FC"/>
  </w:style>
  <w:style w:type="paragraph" w:styleId="Kopfzeile">
    <w:name w:val="header"/>
    <w:basedOn w:val="Standard"/>
    <w:link w:val="KopfzeileZchn"/>
    <w:uiPriority w:val="99"/>
    <w:unhideWhenUsed/>
    <w:rsid w:val="003B77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77FC"/>
    <w:rPr>
      <w:rFonts w:ascii="Arial" w:hAnsi="Arial"/>
      <w:sz w:val="24"/>
      <w:lang w:val="de-DE" w:eastAsia="de-DE"/>
    </w:rPr>
  </w:style>
  <w:style w:type="table" w:styleId="Tabellenraster">
    <w:name w:val="Table Grid"/>
    <w:basedOn w:val="NormaleTabelle"/>
    <w:uiPriority w:val="59"/>
    <w:rsid w:val="006A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432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98432A"/>
    <w:rPr>
      <w:color w:val="0000FF" w:themeColor="hyperlink"/>
      <w:u w:val="single"/>
    </w:rPr>
  </w:style>
  <w:style w:type="paragraph" w:customStyle="1" w:styleId="bodytext">
    <w:name w:val="bodytext"/>
    <w:basedOn w:val="Standard"/>
    <w:rsid w:val="004C0A9E"/>
    <w:pPr>
      <w:spacing w:before="225" w:after="225" w:line="240" w:lineRule="auto"/>
    </w:pPr>
    <w:rPr>
      <w:rFonts w:ascii="Times New Roman" w:hAnsi="Times New Roman"/>
      <w:szCs w:val="24"/>
      <w:lang w:val="de-AT" w:eastAsia="de-AT"/>
    </w:rPr>
  </w:style>
  <w:style w:type="character" w:customStyle="1" w:styleId="berschrift8Zchn">
    <w:name w:val="Überschrift 8 Zchn"/>
    <w:basedOn w:val="Absatz-Standardschriftart"/>
    <w:link w:val="berschrift8"/>
    <w:uiPriority w:val="9"/>
    <w:semiHidden/>
    <w:rsid w:val="004C0A9E"/>
    <w:rPr>
      <w:rFonts w:asciiTheme="majorHAnsi" w:eastAsiaTheme="majorEastAsia" w:hAnsiTheme="majorHAnsi" w:cstheme="majorBidi"/>
      <w:color w:val="272727" w:themeColor="text1" w:themeTint="D8"/>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datenschutz" TargetMode="External"/><Relationship Id="rId3" Type="http://schemas.openxmlformats.org/officeDocument/2006/relationships/settings" Target="settings.xml"/><Relationship Id="rId7" Type="http://schemas.openxmlformats.org/officeDocument/2006/relationships/hyperlink" Target="mailto:post.datenschutz@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Beck-Kutrowatz Andrea</dc:creator>
  <cp:keywords/>
  <dc:description/>
  <cp:lastModifiedBy>Gallos Lea</cp:lastModifiedBy>
  <cp:revision>6</cp:revision>
  <dcterms:created xsi:type="dcterms:W3CDTF">2023-02-10T09:43:00Z</dcterms:created>
  <dcterms:modified xsi:type="dcterms:W3CDTF">2023-02-13T13:47:00Z</dcterms:modified>
</cp:coreProperties>
</file>